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C2C9A" w:rsidRDefault="002C2C9A">
      <w:pPr>
        <w:pBdr>
          <w:bottom w:val="single" w:sz="6" w:space="1" w:color="auto"/>
        </w:pBdr>
        <w:rPr>
          <w:sz w:val="20"/>
          <w:szCs w:val="20"/>
          <w:lang w:eastAsia="pt-BR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</w:instrText>
      </w:r>
      <w:r w:rsidR="004B07AE">
        <w:rPr>
          <w:sz w:val="28"/>
          <w:szCs w:val="28"/>
        </w:rPr>
        <w:instrText xml:space="preserve">Excel.Sheet.12 Pasta1 Plan1!L3C2:L23C2 </w:instrText>
      </w:r>
      <w:r>
        <w:rPr>
          <w:sz w:val="28"/>
          <w:szCs w:val="28"/>
        </w:rPr>
        <w:instrText xml:space="preserve">\a \f 4 \h  \* MERGEFORMAT </w:instrText>
      </w:r>
      <w:r>
        <w:rPr>
          <w:sz w:val="28"/>
          <w:szCs w:val="28"/>
        </w:rPr>
        <w:fldChar w:fldCharType="separate"/>
      </w:r>
    </w:p>
    <w:tbl>
      <w:tblPr>
        <w:tblW w:w="13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7"/>
      </w:tblGrid>
      <w:tr w:rsidR="002C2C9A" w:rsidRPr="002C2C9A" w:rsidTr="002C2C9A">
        <w:trPr>
          <w:trHeight w:val="1590"/>
        </w:trPr>
        <w:tc>
          <w:tcPr>
            <w:tcW w:w="134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C2C9A" w:rsidRDefault="002C2C9A" w:rsidP="002C2C9A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C2C9A">
              <w:rPr>
                <w:rFonts w:ascii="Calibri" w:eastAsia="Calibri" w:hAnsi="Calibri" w:cs="Times New Roman"/>
                <w:noProof/>
                <w:sz w:val="22"/>
                <w:szCs w:val="22"/>
                <w:lang w:eastAsia="pt-BR"/>
              </w:rPr>
              <w:drawing>
                <wp:inline distT="0" distB="0" distL="0" distR="0" wp14:anchorId="73F492C1" wp14:editId="08AEE6CF">
                  <wp:extent cx="1533525" cy="1615973"/>
                  <wp:effectExtent l="0" t="0" r="0" b="3810"/>
                  <wp:docPr id="4" name="Imagem 4" descr="C:\Users\sonia.cardoso\Downloads\IMG_9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ia.cardoso\Downloads\IMG_962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90" t="14743" r="22693" b="7147"/>
                          <a:stretch/>
                        </pic:blipFill>
                        <pic:spPr bwMode="auto">
                          <a:xfrm>
                            <a:off x="0" y="0"/>
                            <a:ext cx="1541956" cy="1624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                          </w:t>
            </w:r>
            <w:r w:rsidRPr="002C2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DECLARAÇÃO DO CONTADOR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</w:t>
            </w:r>
          </w:p>
          <w:p w:rsidR="002C2C9A" w:rsidRPr="002C2C9A" w:rsidRDefault="002C2C9A" w:rsidP="002C2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C2C9A" w:rsidRPr="002C2C9A" w:rsidTr="002C2C9A">
        <w:trPr>
          <w:trHeight w:val="315"/>
        </w:trPr>
        <w:tc>
          <w:tcPr>
            <w:tcW w:w="134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C2C9A" w:rsidRDefault="002C2C9A" w:rsidP="002C2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2C2C9A" w:rsidRPr="002C2C9A" w:rsidRDefault="002C2C9A" w:rsidP="002C2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C2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Denominação completa                                                                                                                                   Código do </w:t>
            </w:r>
            <w:proofErr w:type="gramStart"/>
            <w:r w:rsidRPr="002C2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Órgão  26425</w:t>
            </w:r>
            <w:proofErr w:type="gramEnd"/>
          </w:p>
        </w:tc>
      </w:tr>
      <w:tr w:rsidR="002C2C9A" w:rsidRPr="002C2C9A" w:rsidTr="002C2C9A">
        <w:trPr>
          <w:trHeight w:val="300"/>
        </w:trPr>
        <w:tc>
          <w:tcPr>
            <w:tcW w:w="13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C9A" w:rsidRPr="002C2C9A" w:rsidRDefault="002C2C9A" w:rsidP="002C2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C2C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INSTITUTO FEDERAL DE EDUCAÇÃO, CIÊNCIA E TECOLOGIA DO ACRE</w:t>
            </w:r>
          </w:p>
        </w:tc>
      </w:tr>
      <w:tr w:rsidR="002C2C9A" w:rsidRPr="002C2C9A" w:rsidTr="002C2C9A">
        <w:trPr>
          <w:trHeight w:val="1575"/>
        </w:trPr>
        <w:tc>
          <w:tcPr>
            <w:tcW w:w="1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C9A" w:rsidRPr="002C2C9A" w:rsidRDefault="002C2C9A" w:rsidP="002C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Declaro que os demonstrativos contábeis constantes do SIAFI (Balanços Orçamentário, Financeiro e Patrimonial e as Demonstrações das Variações Patrimoniais, do Fluxo de Caixa e das Mutações do Patrimônio Líquido), regidos pela Lei n.º 4.320/1964 e pela Norma Brasileira de Contabilidade Aplicada ao Setor Público NBC T 16.6 aprovada pela Resolução CFC nº 1.133/2008, relativas ao exercício de 2018, refletem adequada e integralmente a situação orçamentária, financeira e patrimonial da unidade jurisdicionada que apresenta Relatório de Gestão, </w:t>
            </w:r>
            <w:r w:rsidRPr="002C2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EXCETO</w:t>
            </w:r>
            <w:r w:rsidRPr="002C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no tocante a seguintes ressalvas apresentadas em 2018:</w:t>
            </w:r>
          </w:p>
        </w:tc>
      </w:tr>
      <w:tr w:rsidR="002C2C9A" w:rsidRPr="002C2C9A" w:rsidTr="002C2C9A">
        <w:trPr>
          <w:trHeight w:val="315"/>
        </w:trPr>
        <w:tc>
          <w:tcPr>
            <w:tcW w:w="1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C9A" w:rsidRPr="002C2C9A" w:rsidRDefault="002C2C9A" w:rsidP="002C2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b) Falta avaliação Bens móveis/imóveis/intangíveis/outros</w:t>
            </w:r>
          </w:p>
        </w:tc>
      </w:tr>
      <w:tr w:rsidR="002C2C9A" w:rsidRPr="002C2C9A" w:rsidTr="002C2C9A">
        <w:trPr>
          <w:trHeight w:val="315"/>
        </w:trPr>
        <w:tc>
          <w:tcPr>
            <w:tcW w:w="1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C9A" w:rsidRPr="002C2C9A" w:rsidRDefault="002C2C9A" w:rsidP="002C2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c) Falta / evolução incompatível Depreciação Ativo Imobilizado</w:t>
            </w:r>
          </w:p>
        </w:tc>
      </w:tr>
      <w:tr w:rsidR="002C2C9A" w:rsidRPr="002C2C9A" w:rsidTr="002C2C9A">
        <w:trPr>
          <w:trHeight w:val="315"/>
        </w:trPr>
        <w:tc>
          <w:tcPr>
            <w:tcW w:w="1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C9A" w:rsidRPr="002C2C9A" w:rsidRDefault="002C2C9A" w:rsidP="002C2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d) Saldos de Imóveis esp. não conferem com </w:t>
            </w:r>
            <w:proofErr w:type="spellStart"/>
            <w:r w:rsidRPr="002C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Spiunet</w:t>
            </w:r>
            <w:proofErr w:type="spellEnd"/>
          </w:p>
        </w:tc>
      </w:tr>
      <w:tr w:rsidR="002C2C9A" w:rsidRPr="002C2C9A" w:rsidTr="002C2C9A">
        <w:trPr>
          <w:trHeight w:val="315"/>
        </w:trPr>
        <w:tc>
          <w:tcPr>
            <w:tcW w:w="1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C9A" w:rsidRPr="002C2C9A" w:rsidRDefault="002C2C9A" w:rsidP="002C2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e) Falta / evolução incompatível Amortização Ativo Intangível</w:t>
            </w:r>
          </w:p>
        </w:tc>
      </w:tr>
      <w:tr w:rsidR="002C2C9A" w:rsidRPr="002C2C9A" w:rsidTr="002C2C9A">
        <w:trPr>
          <w:trHeight w:val="315"/>
        </w:trPr>
        <w:tc>
          <w:tcPr>
            <w:tcW w:w="1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C9A" w:rsidRPr="002C2C9A" w:rsidRDefault="002C2C9A" w:rsidP="002C2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f) </w:t>
            </w:r>
            <w:proofErr w:type="spellStart"/>
            <w:r w:rsidRPr="002C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OB’s</w:t>
            </w:r>
            <w:proofErr w:type="spellEnd"/>
            <w:r w:rsidRPr="002C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Canceladas</w:t>
            </w:r>
          </w:p>
        </w:tc>
      </w:tr>
      <w:tr w:rsidR="002C2C9A" w:rsidRPr="002C2C9A" w:rsidTr="002C2C9A">
        <w:trPr>
          <w:trHeight w:val="300"/>
        </w:trPr>
        <w:tc>
          <w:tcPr>
            <w:tcW w:w="1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C9A" w:rsidRPr="002C2C9A" w:rsidRDefault="002C2C9A" w:rsidP="002C2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C2C9A" w:rsidRPr="002C2C9A" w:rsidTr="002C2C9A">
        <w:trPr>
          <w:trHeight w:val="630"/>
        </w:trPr>
        <w:tc>
          <w:tcPr>
            <w:tcW w:w="1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C9A" w:rsidRPr="002C2C9A" w:rsidRDefault="002C2C9A" w:rsidP="00F3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Este Instituto Federal apesar de ainda apresentar as restrições acima relacionadas, vem tomando algumas providências para a regularização das pendências não sanadas em 2018:</w:t>
            </w:r>
          </w:p>
        </w:tc>
      </w:tr>
      <w:tr w:rsidR="002C2C9A" w:rsidRPr="002C2C9A" w:rsidTr="002C2C9A">
        <w:trPr>
          <w:trHeight w:val="1575"/>
        </w:trPr>
        <w:tc>
          <w:tcPr>
            <w:tcW w:w="1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C9A" w:rsidRPr="002C2C9A" w:rsidRDefault="002C2C9A" w:rsidP="00B8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C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a) No</w:t>
            </w:r>
            <w:proofErr w:type="gramEnd"/>
            <w:r w:rsidRPr="002C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momento da migração dos dados do SIAFI ao sistema SIPAC no módulo almoxarifado e</w:t>
            </w:r>
            <w:r w:rsidR="00E4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patrimônio, constatou-se algumas inconsistências</w:t>
            </w:r>
            <w:r w:rsidRPr="002C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nos dados transferidos, como erro de classificação contábil, erro de tombamento e outras irregularidades que impedem a informação correta para posterior emissão de relatórios e cálculos de depreciação. Os dados incorretos </w:t>
            </w:r>
            <w:r w:rsidR="00B86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estão</w:t>
            </w:r>
            <w:r w:rsidRPr="002C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em fase de</w:t>
            </w:r>
            <w:r w:rsidR="00B86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reclassificação e</w:t>
            </w:r>
            <w:r w:rsidRPr="002C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consolidação </w:t>
            </w:r>
            <w:r w:rsidR="00B86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para</w:t>
            </w:r>
            <w:r w:rsidRPr="002C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posterior envio a empresa </w:t>
            </w:r>
            <w:proofErr w:type="spellStart"/>
            <w:r w:rsidRPr="002C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e-sig</w:t>
            </w:r>
            <w:proofErr w:type="spellEnd"/>
            <w:r w:rsidRPr="002C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responsável pelo SIPAC, para diligências necessárias.</w:t>
            </w:r>
          </w:p>
        </w:tc>
      </w:tr>
      <w:tr w:rsidR="002C2C9A" w:rsidRPr="002C2C9A" w:rsidTr="002C2C9A">
        <w:trPr>
          <w:trHeight w:val="630"/>
        </w:trPr>
        <w:tc>
          <w:tcPr>
            <w:tcW w:w="1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C9A" w:rsidRPr="002C2C9A" w:rsidRDefault="002C2C9A" w:rsidP="00E46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C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b) Quanto</w:t>
            </w:r>
            <w:proofErr w:type="gramEnd"/>
            <w:r w:rsidRPr="002C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 falta de avaliação de bens móveis/imóveis/intangíveis/outros, foi publicada a Portaria de nº 1396, de 2</w:t>
            </w:r>
            <w:r w:rsidR="00E4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7/09/2018 para fins de realização</w:t>
            </w:r>
            <w:r w:rsidRPr="002C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 inventário de</w:t>
            </w:r>
            <w:r w:rsidR="00E4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2018, o mesmo foi realizado</w:t>
            </w:r>
            <w:r w:rsidRPr="002C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está em fase de apreciação e aceitação pela comissão central</w:t>
            </w:r>
            <w:r w:rsidR="00E4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posterior conferência pela COPAL- Coordenação de Almoxarifado e Patrimônio.</w:t>
            </w:r>
          </w:p>
        </w:tc>
      </w:tr>
      <w:tr w:rsidR="002C2C9A" w:rsidRPr="002C2C9A" w:rsidTr="002C2C9A">
        <w:trPr>
          <w:trHeight w:val="630"/>
        </w:trPr>
        <w:tc>
          <w:tcPr>
            <w:tcW w:w="1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C9A" w:rsidRPr="002C2C9A" w:rsidRDefault="002C2C9A" w:rsidP="002C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C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c) Quanto</w:t>
            </w:r>
            <w:proofErr w:type="gramEnd"/>
            <w:r w:rsidRPr="002C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 restrição referente ao saldo que não confere com o </w:t>
            </w:r>
            <w:proofErr w:type="spellStart"/>
            <w:r w:rsidRPr="002C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Spiunet</w:t>
            </w:r>
            <w:proofErr w:type="spellEnd"/>
            <w:r w:rsidRPr="002C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os setores responsáveis estão atualizando os dados já cadastrados e inserindo as demais unidades, com perspectiva de finalização até o final do primeiro semestre.</w:t>
            </w:r>
          </w:p>
        </w:tc>
      </w:tr>
      <w:tr w:rsidR="002C2C9A" w:rsidRPr="002C2C9A" w:rsidTr="002C2C9A">
        <w:trPr>
          <w:trHeight w:val="945"/>
        </w:trPr>
        <w:tc>
          <w:tcPr>
            <w:tcW w:w="1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C9A" w:rsidRPr="002C2C9A" w:rsidRDefault="002C2C9A" w:rsidP="002C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C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d) Quanto</w:t>
            </w:r>
            <w:proofErr w:type="gramEnd"/>
            <w:r w:rsidRPr="002C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 falta de amortização, constatou-se que os intangíveis se encontravam em grupos de classificação contábeis divergentes ao indicado, no mesmo arquivo que será enviado a empresa </w:t>
            </w:r>
            <w:proofErr w:type="spellStart"/>
            <w:r w:rsidRPr="002C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e-sig</w:t>
            </w:r>
            <w:proofErr w:type="spellEnd"/>
            <w:r w:rsidRPr="002C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para correção dos bens imobilizados serão enviados os bens intangíveis para correção e posterior amortização. </w:t>
            </w:r>
          </w:p>
        </w:tc>
      </w:tr>
      <w:tr w:rsidR="002C2C9A" w:rsidRPr="002C2C9A" w:rsidTr="002C2C9A">
        <w:trPr>
          <w:trHeight w:val="1575"/>
        </w:trPr>
        <w:tc>
          <w:tcPr>
            <w:tcW w:w="1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C9A" w:rsidRPr="002C2C9A" w:rsidRDefault="002C2C9A" w:rsidP="002C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e) Quanto as </w:t>
            </w:r>
            <w:proofErr w:type="spellStart"/>
            <w:r w:rsidRPr="002C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OBs</w:t>
            </w:r>
            <w:proofErr w:type="spellEnd"/>
            <w:r w:rsidRPr="002C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canceladas, foram feitas as regularizações nos documentos hábeis 2018DT000319 a 2018DT000328, e assinadas pelo Ordenador e Gestor Financeiro no dia 31/12/2018, porém, com a nova sistemática de </w:t>
            </w:r>
            <w:proofErr w:type="spellStart"/>
            <w:r w:rsidRPr="002C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obs</w:t>
            </w:r>
            <w:proofErr w:type="spellEnd"/>
            <w:r w:rsidRPr="002C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houve o cancelamento no primeiro dia útil das assinaturas, constando a mensagem: “Erro ao gerar documento OB”. Foram feitas novas LCS em 2019, conforme orientações recebidas, e assinadas novamente, porém, a conta 218913603 (ordens bancárias canceladas), continuou com o saldo, por ter sido preciso pagar novamente no ano de 2019.</w:t>
            </w:r>
          </w:p>
        </w:tc>
      </w:tr>
      <w:tr w:rsidR="002C2C9A" w:rsidRPr="002C2C9A" w:rsidTr="002C2C9A">
        <w:trPr>
          <w:trHeight w:val="300"/>
        </w:trPr>
        <w:tc>
          <w:tcPr>
            <w:tcW w:w="1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C9A" w:rsidRPr="002C2C9A" w:rsidRDefault="002C2C9A" w:rsidP="002C2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C2C9A" w:rsidRPr="002C2C9A" w:rsidTr="002C2C9A">
        <w:trPr>
          <w:trHeight w:val="315"/>
        </w:trPr>
        <w:tc>
          <w:tcPr>
            <w:tcW w:w="1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C9A" w:rsidRPr="002C2C9A" w:rsidRDefault="002C2C9A" w:rsidP="002C2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Estou ciente das responsabilidades civis e profissionais desta declaração.</w:t>
            </w:r>
          </w:p>
        </w:tc>
      </w:tr>
      <w:tr w:rsidR="002C2C9A" w:rsidRPr="002C2C9A" w:rsidTr="002C2C9A">
        <w:trPr>
          <w:trHeight w:val="630"/>
        </w:trPr>
        <w:tc>
          <w:tcPr>
            <w:tcW w:w="134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C2C9A" w:rsidRPr="002C2C9A" w:rsidRDefault="002C2C9A" w:rsidP="002C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C2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Local                                                                                                                               Rio Branco - Acre               Data: 10/01/2019</w:t>
            </w:r>
          </w:p>
        </w:tc>
      </w:tr>
      <w:tr w:rsidR="002C2C9A" w:rsidRPr="002C2C9A" w:rsidTr="002C2C9A">
        <w:trPr>
          <w:trHeight w:val="630"/>
        </w:trPr>
        <w:tc>
          <w:tcPr>
            <w:tcW w:w="134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C2C9A" w:rsidRPr="002C2C9A" w:rsidRDefault="002C2C9A" w:rsidP="002C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C2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Contador Responsável                                                                                                                                  CRC nº 002763/O-0 T-AC</w:t>
            </w:r>
          </w:p>
        </w:tc>
      </w:tr>
    </w:tbl>
    <w:p w:rsidR="002C2C9A" w:rsidRDefault="002C2C9A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787687" w:rsidRDefault="00787687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472EE9" w:rsidRDefault="002C2C9A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F32C6C">
        <w:rPr>
          <w:b/>
          <w:sz w:val="28"/>
          <w:szCs w:val="28"/>
        </w:rPr>
        <w:t>emonstrações Contábeis</w:t>
      </w:r>
    </w:p>
    <w:p w:rsidR="00472EE9" w:rsidRDefault="00472EE9">
      <w:pPr>
        <w:rPr>
          <w:rStyle w:val="Forte"/>
        </w:rPr>
      </w:pPr>
    </w:p>
    <w:p w:rsidR="00472EE9" w:rsidRDefault="00F32C6C">
      <w:pPr>
        <w:rPr>
          <w:rStyle w:val="Forte"/>
        </w:rPr>
      </w:pPr>
      <w:r>
        <w:rPr>
          <w:rStyle w:val="Forte"/>
          <w:b w:val="0"/>
          <w:bCs w:val="0"/>
          <w:noProof/>
          <w:lang w:eastAsia="pt-B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290830</wp:posOffset>
            </wp:positionV>
            <wp:extent cx="3787140" cy="2341880"/>
            <wp:effectExtent l="0" t="0" r="3810" b="1270"/>
            <wp:wrapTight wrapText="bothSides">
              <wp:wrapPolygon edited="0">
                <wp:start x="0" y="0"/>
                <wp:lineTo x="0" y="21436"/>
                <wp:lineTo x="21513" y="21436"/>
                <wp:lineTo x="21513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7140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Forte"/>
        </w:rPr>
        <w:t xml:space="preserve">Balanço Patrimonial </w:t>
      </w:r>
    </w:p>
    <w:p w:rsidR="00472EE9" w:rsidRDefault="00F32C6C">
      <w:pPr>
        <w:rPr>
          <w:rStyle w:val="Forte"/>
        </w:rPr>
      </w:pPr>
      <w:r>
        <w:rPr>
          <w:rStyle w:val="Forte"/>
        </w:rPr>
        <w:t xml:space="preserve">              </w:t>
      </w:r>
      <w:r>
        <w:rPr>
          <w:rStyle w:val="Forte"/>
          <w:b w:val="0"/>
          <w:bCs w:val="0"/>
          <w:noProof/>
          <w:lang w:eastAsia="pt-BR"/>
        </w:rPr>
        <w:drawing>
          <wp:inline distT="0" distB="0" distL="0" distR="0">
            <wp:extent cx="4544695" cy="3209290"/>
            <wp:effectExtent l="0" t="0" r="825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631" cy="322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E9" w:rsidRDefault="00F32C6C">
      <w:pPr>
        <w:jc w:val="both"/>
      </w:pPr>
      <w:r>
        <w:t>O Balanço Patrimonial evidencia os ativos e passivos, e sua evolução 2018 em relação a 2017. Os ativos compreendem os saldos de recursos financeiros e patrimoniais, com capacidade de geração de benefícios econômicos futuros ou potencial de serviços, ao passo que os passivos compreendem os saldos de suas obrigações presentes, decorrentes de eventos passados e com alta probabilidade de desembolso futuro. O patrimônio líquido (PL) representa a diferença entre o total dos ativos e o total dos passivos, sendo uma importante referência sobre a situação financeira do órgão.</w:t>
      </w:r>
    </w:p>
    <w:p w:rsidR="00472EE9" w:rsidRDefault="00472EE9">
      <w:pPr>
        <w:rPr>
          <w:b/>
          <w:bCs/>
        </w:rPr>
      </w:pPr>
    </w:p>
    <w:p w:rsidR="00472EE9" w:rsidRDefault="00F32C6C">
      <w:pPr>
        <w:rPr>
          <w:rStyle w:val="Forte"/>
        </w:rPr>
      </w:pPr>
      <w:r>
        <w:rPr>
          <w:rStyle w:val="Forte"/>
          <w:noProof/>
          <w:lang w:eastAsia="pt-BR"/>
        </w:rPr>
        <mc:AlternateContent>
          <mc:Choice Requires="wps">
            <w:drawing>
              <wp:anchor distT="118745" distB="118745" distL="114300" distR="114300" simplePos="0" relativeHeight="251659264" behindDoc="1" locked="0" layoutInCell="0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468630</wp:posOffset>
                </wp:positionV>
                <wp:extent cx="4326255" cy="825500"/>
                <wp:effectExtent l="0" t="0" r="0" b="0"/>
                <wp:wrapNone/>
                <wp:docPr id="69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825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2EE9" w:rsidRDefault="00F32C6C">
                            <w:pPr>
                              <w:jc w:val="both"/>
                            </w:pPr>
                            <w:r>
                              <w:t>A Demonstração das Variações Patrimoniais evidencia as alterações verificadas no patrimônio, resultantes ou independentes da execução orçamentária, e indica o resultado patrimonial do exercício.</w:t>
                            </w:r>
                          </w:p>
                          <w:p w:rsidR="00472EE9" w:rsidRDefault="00472EE9">
                            <w:pPr>
                              <w:pBdr>
                                <w:left w:val="single" w:sz="12" w:space="9" w:color="4F81BD" w:themeColor="accent1"/>
                              </w:pBd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8.6pt;margin-top:36.9pt;width:340.65pt;height:65pt;z-index:-251657216;visibility:visible;mso-wrap-style:square;mso-wrap-distance-left:9pt;mso-wrap-distance-top:9.35pt;mso-wrap-distance-right:9pt;mso-wrap-distance-bottom:9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" o:allowincell="f" filled="f" stroked="f">
                <v:textbox>
                  <w:txbxContent>
                    <w:p w:rsidR="00472EE9" w:rsidRDefault="00F32C6C">
                      <w:pPr>
                        <w:jc w:val="both"/>
                      </w:pPr>
                      <w:r>
                        <w:t>A Demonstração das Variações Patrimoniais evidencia as alterações verificadas no patrimônio, resultantes ou independentes da execução orçamentária, e indica o resultado patrimonial do exercício.</w:t>
                      </w:r>
                    </w:p>
                    <w:p w:rsidR="00472EE9" w:rsidRDefault="00472EE9">
                      <w:pPr>
                        <w:pBdr>
                          <w:left w:val="single" w:sz="12" w:space="9" w:color="4F81BD" w:themeColor="accent1"/>
                        </w:pBd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Forte"/>
        </w:rPr>
        <w:t>Demonstração das Variações Patrimoniais</w:t>
      </w:r>
    </w:p>
    <w:p w:rsidR="00472EE9" w:rsidRDefault="00F32C6C">
      <w:pPr>
        <w:rPr>
          <w:rStyle w:val="Forte"/>
        </w:rPr>
      </w:pPr>
      <w:r>
        <w:rPr>
          <w:rStyle w:val="Forte"/>
          <w:b w:val="0"/>
          <w:bCs w:val="0"/>
          <w:noProof/>
          <w:lang w:eastAsia="pt-BR"/>
        </w:rPr>
        <w:lastRenderedPageBreak/>
        <w:drawing>
          <wp:inline distT="0" distB="0" distL="0" distR="0">
            <wp:extent cx="4448810" cy="1938020"/>
            <wp:effectExtent l="0" t="0" r="8890" b="508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2859" cy="197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rte"/>
        </w:rPr>
        <w:t xml:space="preserve">     </w:t>
      </w:r>
      <w:r>
        <w:rPr>
          <w:rStyle w:val="Forte"/>
          <w:b w:val="0"/>
          <w:bCs w:val="0"/>
          <w:noProof/>
          <w:lang w:eastAsia="pt-BR"/>
        </w:rPr>
        <w:drawing>
          <wp:inline distT="0" distB="0" distL="0" distR="0">
            <wp:extent cx="4053205" cy="3524250"/>
            <wp:effectExtent l="0" t="0" r="444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7558" cy="353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E9" w:rsidRDefault="00472EE9">
      <w:pPr>
        <w:rPr>
          <w:rStyle w:val="Forte"/>
        </w:rPr>
      </w:pPr>
    </w:p>
    <w:p w:rsidR="00472EE9" w:rsidRDefault="00472EE9">
      <w:pPr>
        <w:rPr>
          <w:rStyle w:val="Forte"/>
        </w:rPr>
      </w:pPr>
    </w:p>
    <w:p w:rsidR="00472EE9" w:rsidRDefault="00472EE9">
      <w:pPr>
        <w:rPr>
          <w:rStyle w:val="Forte"/>
        </w:rPr>
      </w:pPr>
    </w:p>
    <w:p w:rsidR="00472EE9" w:rsidRDefault="00472EE9">
      <w:pPr>
        <w:rPr>
          <w:rStyle w:val="Forte"/>
        </w:rPr>
      </w:pPr>
    </w:p>
    <w:p w:rsidR="00472EE9" w:rsidRDefault="00472EE9">
      <w:pPr>
        <w:rPr>
          <w:rStyle w:val="Forte"/>
        </w:rPr>
      </w:pPr>
    </w:p>
    <w:p w:rsidR="00472EE9" w:rsidRDefault="00F32C6C">
      <w:pPr>
        <w:rPr>
          <w:rStyle w:val="Forte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118745" distB="118745" distL="114300" distR="114300" simplePos="0" relativeHeight="251661312" behindDoc="0" locked="0" layoutInCell="0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0</wp:posOffset>
                </wp:positionV>
                <wp:extent cx="3998595" cy="2497455"/>
                <wp:effectExtent l="0" t="0" r="0" b="0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2497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2EE9" w:rsidRDefault="00F32C6C">
                            <w:pPr>
                              <w:jc w:val="both"/>
                            </w:pPr>
                            <w:r>
                              <w:t>A Lei 4.320/1964 prevê a elaboração do Balanço Orçamentário e dispõe que ele demonstrará as receitas e despesas previstas em confronto com as realizadas.  Sendo assim, o Balanço Orçamentário demonstra as receitas detalhadas por categoria econômica e origem, especificando a previsão inicial, a previsão atualizada para o exercício, a receita realizada e o saldo, que corresponde ao excesso ou insuficiência de arrecadação. Demonstra, também, as despesas por categoria econômica e grupo de natureza da despesa, discriminando a dotação inicial, a dotação atualizada para o exercício, as despesas empenhadas, as despesas liquidadas, as despesas pagas e o saldo da dotação. O Balanço Orçamentário é composto por: a. Quadro Principal; b. Quadro da Execução dos Restos a Pagar Não Processados; e c. Quadro da Execução dos Restos a Pagar Processados.</w:t>
                            </w:r>
                          </w:p>
                          <w:p w:rsidR="00472EE9" w:rsidRDefault="00472EE9">
                            <w:pPr>
                              <w:pBdr>
                                <w:left w:val="single" w:sz="12" w:space="9" w:color="4F81BD" w:themeColor="accent1"/>
                              </w:pBd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27" type="#_x0000_t202" style="position:absolute;margin-left:371.8pt;margin-top:0;width:314.85pt;height:196.65pt;z-index:251661312;visibility:visible;mso-wrap-style:square;mso-wrap-distance-left:9pt;mso-wrap-distance-top:9.35pt;mso-wrap-distance-right:9pt;mso-wrap-distance-bottom:9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" o:allowincell="f" filled="f" stroked="f">
                <v:textbox>
                  <w:txbxContent>
                    <w:p w:rsidR="00472EE9" w:rsidRDefault="00F32C6C">
                      <w:pPr>
                        <w:jc w:val="both"/>
                      </w:pPr>
                      <w:r>
                        <w:t>A Lei 4.320/1964 prevê a elaboração do Balanço Orçamentário e dispõe que ele demonstrará as receitas e despesas previstas em confronto com as realizadas.  Sendo assim, o Balanço Orçamentário demonstra as receitas detalhadas por categoria econômica e origem, especificando a previsão inicial, a previsão atualizada para o exercício, a receita realizada e o saldo, que corresponde ao excesso ou insuficiência de arrecadação. Demonstra, também, as despesas por categoria econômica e grupo de natureza da despesa, discriminando a dotação inicial, a dotação atualizada para o exercício, as despesas empenhadas, as despesas liquidadas, as despesas pagas e o saldo da dotação. O Balanço Orçamentário é composto por: a. Quadro Principal; b. Quadro da Execução dos Restos a Pagar Não Processados; e c. Quadro da Execução dos Restos a Pagar Processados.</w:t>
                      </w:r>
                    </w:p>
                    <w:p w:rsidR="00472EE9" w:rsidRDefault="00472EE9">
                      <w:pPr>
                        <w:pBdr>
                          <w:left w:val="single" w:sz="12" w:space="9" w:color="4F81BD" w:themeColor="accent1"/>
                        </w:pBd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Forte"/>
        </w:rPr>
        <w:t>Balanço Orçamentário</w:t>
      </w:r>
    </w:p>
    <w:p w:rsidR="00472EE9" w:rsidRDefault="00F32C6C">
      <w:pPr>
        <w:jc w:val="both"/>
      </w:pPr>
      <w:r>
        <w:rPr>
          <w:noProof/>
          <w:lang w:eastAsia="pt-BR"/>
        </w:rPr>
        <w:drawing>
          <wp:inline distT="0" distB="0" distL="0" distR="0">
            <wp:extent cx="4572000" cy="1957705"/>
            <wp:effectExtent l="0" t="0" r="0" b="444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3703" cy="198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CFB" w:rsidRDefault="002100A1">
      <w:r>
        <w:rPr>
          <w:noProof/>
          <w:lang w:eastAsia="pt-BR"/>
        </w:rPr>
        <mc:AlternateContent>
          <mc:Choice Requires="wps">
            <w:drawing>
              <wp:anchor distT="118745" distB="118745" distL="114300" distR="114300" simplePos="0" relativeHeight="251658752" behindDoc="0" locked="0" layoutInCell="0" allowOverlap="1">
                <wp:simplePos x="0" y="0"/>
                <wp:positionH relativeFrom="margin">
                  <wp:posOffset>4833620</wp:posOffset>
                </wp:positionH>
                <wp:positionV relativeFrom="paragraph">
                  <wp:posOffset>753110</wp:posOffset>
                </wp:positionV>
                <wp:extent cx="4067175" cy="167640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676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2EE9" w:rsidRPr="00AE2E9D" w:rsidRDefault="00F32C6C" w:rsidP="002100A1">
                            <w:pPr>
                              <w:pBdr>
                                <w:left w:val="single" w:sz="12" w:space="9" w:color="4F81BD" w:themeColor="accent1"/>
                              </w:pBdr>
                              <w:spacing w:after="0"/>
                              <w:jc w:val="both"/>
                            </w:pPr>
                            <w:r>
                              <w:rPr>
                                <w:rStyle w:val="fontstyle01"/>
                              </w:rPr>
                              <w:t xml:space="preserve">Em 2018 o IFAC executou   </w:t>
                            </w:r>
                            <w:r w:rsidRPr="00AE2E9D">
                              <w:rPr>
                                <w:rStyle w:val="fontstyle21"/>
                                <w:color w:val="548DD4" w:themeColor="text2" w:themeTint="99"/>
                              </w:rPr>
                              <w:t xml:space="preserve">99,89% dos recursos de </w:t>
                            </w:r>
                            <w:r w:rsidRPr="009B7CFB">
                              <w:rPr>
                                <w:rStyle w:val="fontstyle21"/>
                                <w:color w:val="548DD4" w:themeColor="text2" w:themeTint="99"/>
                                <w:szCs w:val="20"/>
                              </w:rPr>
                              <w:t>custeio</w:t>
                            </w:r>
                            <w:r w:rsidR="008E1292" w:rsidRPr="009B7CFB">
                              <w:rPr>
                                <w:rStyle w:val="fontstyle21"/>
                                <w:color w:val="548DD4" w:themeColor="text2" w:themeTint="99"/>
                                <w:sz w:val="48"/>
                                <w:szCs w:val="20"/>
                              </w:rPr>
                              <w:t>.</w:t>
                            </w:r>
                            <w:r w:rsidR="008E1292" w:rsidRPr="009B7CFB">
                              <w:rPr>
                                <w:rStyle w:val="fontstyle21"/>
                                <w:color w:val="8DB3E2" w:themeColor="text2" w:themeTint="66"/>
                                <w:sz w:val="48"/>
                                <w:szCs w:val="20"/>
                              </w:rPr>
                              <w:t xml:space="preserve">  </w:t>
                            </w:r>
                            <w:r w:rsidR="008E1292" w:rsidRPr="009B7CFB">
                              <w:rPr>
                                <w:rStyle w:val="fontstyle21"/>
                                <w:color w:val="auto"/>
                                <w:sz w:val="20"/>
                                <w:szCs w:val="20"/>
                              </w:rPr>
                              <w:t>As</w:t>
                            </w:r>
                            <w:r w:rsidR="008E1292" w:rsidRPr="009B7CFB">
                              <w:rPr>
                                <w:rStyle w:val="fontstyle21"/>
                                <w:color w:val="auto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8E1292" w:rsidRPr="009B7CFB">
                              <w:rPr>
                                <w:rStyle w:val="fontstyle21"/>
                                <w:color w:val="548DD4" w:themeColor="text2" w:themeTint="99"/>
                                <w:szCs w:val="20"/>
                              </w:rPr>
                              <w:t>de</w:t>
                            </w:r>
                            <w:r w:rsidR="00EC6309" w:rsidRPr="009B7CFB">
                              <w:rPr>
                                <w:rStyle w:val="fontstyle21"/>
                                <w:color w:val="548DD4" w:themeColor="text2" w:themeTint="99"/>
                                <w:szCs w:val="20"/>
                              </w:rPr>
                              <w:t>s</w:t>
                            </w:r>
                            <w:r w:rsidR="008E1292" w:rsidRPr="009B7CFB">
                              <w:rPr>
                                <w:rStyle w:val="fontstyle21"/>
                                <w:color w:val="548DD4" w:themeColor="text2" w:themeTint="99"/>
                                <w:szCs w:val="20"/>
                              </w:rPr>
                              <w:t>pesas de Capital</w:t>
                            </w:r>
                            <w:r w:rsidR="008E1292" w:rsidRPr="009B7CFB">
                              <w:rPr>
                                <w:rStyle w:val="fontstyle21"/>
                                <w:color w:val="auto"/>
                                <w:sz w:val="28"/>
                                <w:szCs w:val="20"/>
                              </w:rPr>
                              <w:t>,</w:t>
                            </w:r>
                            <w:r w:rsidR="008E1292" w:rsidRPr="008E1292">
                              <w:rPr>
                                <w:rStyle w:val="fontstyle21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1292">
                              <w:rPr>
                                <w:rStyle w:val="fontstyle21"/>
                                <w:color w:val="auto"/>
                                <w:sz w:val="20"/>
                                <w:szCs w:val="20"/>
                              </w:rPr>
                              <w:t xml:space="preserve">teve a execução </w:t>
                            </w:r>
                            <w:r w:rsidR="008E1292" w:rsidRPr="008E1292">
                              <w:rPr>
                                <w:rStyle w:val="fontstyle21"/>
                                <w:color w:val="548DD4" w:themeColor="text2" w:themeTint="99"/>
                              </w:rPr>
                              <w:t>de 126,41%,</w:t>
                            </w:r>
                            <w:r w:rsidR="008E1292" w:rsidRPr="008E1292">
                              <w:rPr>
                                <w:rStyle w:val="fontstyle21"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2E9D" w:rsidRPr="00AE2E9D">
                              <w:rPr>
                                <w:rStyle w:val="fontstyle21"/>
                                <w:color w:val="auto"/>
                                <w:sz w:val="20"/>
                                <w:szCs w:val="20"/>
                              </w:rPr>
                              <w:t>uma vez que além do seu próprio orçamento de Capital o IFAC executou despesas referente a Créditos descentralizados de outros órgãos por meio de 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28" type="#_x0000_t202" style="position:absolute;margin-left:380.6pt;margin-top:59.3pt;width:320.25pt;height:132pt;z-index:251658752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" o:allowincell="f" filled="f" stroked="f">
                <v:textbox>
                  <w:txbxContent>
                    <w:p w:rsidR="00472EE9" w:rsidRPr="00AE2E9D" w:rsidRDefault="00F32C6C" w:rsidP="002100A1">
                      <w:pPr>
                        <w:pBdr>
                          <w:left w:val="single" w:sz="12" w:space="9" w:color="4F81BD" w:themeColor="accent1"/>
                        </w:pBdr>
                        <w:spacing w:after="0"/>
                        <w:jc w:val="both"/>
                      </w:pPr>
                      <w:r>
                        <w:rPr>
                          <w:rStyle w:val="fontstyle01"/>
                        </w:rPr>
                        <w:t xml:space="preserve">Em 2018 o IFAC executou   </w:t>
                      </w:r>
                      <w:r w:rsidRPr="00AE2E9D">
                        <w:rPr>
                          <w:rStyle w:val="fontstyle21"/>
                          <w:color w:val="548DD4" w:themeColor="text2" w:themeTint="99"/>
                        </w:rPr>
                        <w:t xml:space="preserve">99,89% dos recursos de </w:t>
                      </w:r>
                      <w:r w:rsidRPr="009B7CFB">
                        <w:rPr>
                          <w:rStyle w:val="fontstyle21"/>
                          <w:color w:val="548DD4" w:themeColor="text2" w:themeTint="99"/>
                          <w:szCs w:val="20"/>
                        </w:rPr>
                        <w:t>custeio</w:t>
                      </w:r>
                      <w:r w:rsidR="008E1292" w:rsidRPr="009B7CFB">
                        <w:rPr>
                          <w:rStyle w:val="fontstyle21"/>
                          <w:color w:val="548DD4" w:themeColor="text2" w:themeTint="99"/>
                          <w:sz w:val="48"/>
                          <w:szCs w:val="20"/>
                        </w:rPr>
                        <w:t>.</w:t>
                      </w:r>
                      <w:r w:rsidR="008E1292" w:rsidRPr="009B7CFB">
                        <w:rPr>
                          <w:rStyle w:val="fontstyle21"/>
                          <w:color w:val="8DB3E2" w:themeColor="text2" w:themeTint="66"/>
                          <w:sz w:val="48"/>
                          <w:szCs w:val="20"/>
                        </w:rPr>
                        <w:t xml:space="preserve">  </w:t>
                      </w:r>
                      <w:r w:rsidR="008E1292" w:rsidRPr="009B7CFB">
                        <w:rPr>
                          <w:rStyle w:val="fontstyle21"/>
                          <w:color w:val="auto"/>
                          <w:sz w:val="20"/>
                          <w:szCs w:val="20"/>
                        </w:rPr>
                        <w:t>As</w:t>
                      </w:r>
                      <w:r w:rsidR="008E1292" w:rsidRPr="009B7CFB">
                        <w:rPr>
                          <w:rStyle w:val="fontstyle21"/>
                          <w:color w:val="auto"/>
                          <w:sz w:val="28"/>
                          <w:szCs w:val="20"/>
                        </w:rPr>
                        <w:t xml:space="preserve"> </w:t>
                      </w:r>
                      <w:r w:rsidR="008E1292" w:rsidRPr="009B7CFB">
                        <w:rPr>
                          <w:rStyle w:val="fontstyle21"/>
                          <w:color w:val="548DD4" w:themeColor="text2" w:themeTint="99"/>
                          <w:szCs w:val="20"/>
                        </w:rPr>
                        <w:t>de</w:t>
                      </w:r>
                      <w:r w:rsidR="00EC6309" w:rsidRPr="009B7CFB">
                        <w:rPr>
                          <w:rStyle w:val="fontstyle21"/>
                          <w:color w:val="548DD4" w:themeColor="text2" w:themeTint="99"/>
                          <w:szCs w:val="20"/>
                        </w:rPr>
                        <w:t>s</w:t>
                      </w:r>
                      <w:r w:rsidR="008E1292" w:rsidRPr="009B7CFB">
                        <w:rPr>
                          <w:rStyle w:val="fontstyle21"/>
                          <w:color w:val="548DD4" w:themeColor="text2" w:themeTint="99"/>
                          <w:szCs w:val="20"/>
                        </w:rPr>
                        <w:t>pesas de Capital</w:t>
                      </w:r>
                      <w:r w:rsidR="008E1292" w:rsidRPr="009B7CFB">
                        <w:rPr>
                          <w:rStyle w:val="fontstyle21"/>
                          <w:color w:val="auto"/>
                          <w:sz w:val="28"/>
                          <w:szCs w:val="20"/>
                        </w:rPr>
                        <w:t>,</w:t>
                      </w:r>
                      <w:r w:rsidR="008E1292" w:rsidRPr="008E1292">
                        <w:rPr>
                          <w:rStyle w:val="fontstyle21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8E1292">
                        <w:rPr>
                          <w:rStyle w:val="fontstyle21"/>
                          <w:color w:val="auto"/>
                          <w:sz w:val="20"/>
                          <w:szCs w:val="20"/>
                        </w:rPr>
                        <w:t xml:space="preserve">teve a execução </w:t>
                      </w:r>
                      <w:r w:rsidR="008E1292" w:rsidRPr="008E1292">
                        <w:rPr>
                          <w:rStyle w:val="fontstyle21"/>
                          <w:color w:val="548DD4" w:themeColor="text2" w:themeTint="99"/>
                        </w:rPr>
                        <w:t>de 126,41%,</w:t>
                      </w:r>
                      <w:r w:rsidR="008E1292" w:rsidRPr="008E1292">
                        <w:rPr>
                          <w:rStyle w:val="fontstyle21"/>
                          <w:color w:val="548DD4" w:themeColor="text2" w:themeTint="99"/>
                          <w:sz w:val="20"/>
                          <w:szCs w:val="20"/>
                        </w:rPr>
                        <w:t xml:space="preserve"> </w:t>
                      </w:r>
                      <w:r w:rsidR="00AE2E9D" w:rsidRPr="00AE2E9D">
                        <w:rPr>
                          <w:rStyle w:val="fontstyle21"/>
                          <w:color w:val="auto"/>
                          <w:sz w:val="20"/>
                          <w:szCs w:val="20"/>
                        </w:rPr>
                        <w:t>uma vez que além do seu próprio orçamento de Capital o IFAC executou despesas referente a Créditos descentralizados de outros órgãos por meio de TED.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2C6C">
        <w:rPr>
          <w:noProof/>
          <w:lang w:eastAsia="pt-BR"/>
        </w:rPr>
        <w:drawing>
          <wp:inline distT="0" distB="0" distL="0" distR="0">
            <wp:extent cx="4667250" cy="147193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CFB" w:rsidRDefault="00F32C6C">
      <w:r>
        <w:rPr>
          <w:noProof/>
          <w:lang w:eastAsia="pt-BR"/>
        </w:rPr>
        <w:drawing>
          <wp:inline distT="0" distB="0" distL="0" distR="0">
            <wp:extent cx="4564380" cy="1219200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E9" w:rsidRDefault="002100A1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118745" distB="118745" distL="114300" distR="114300" simplePos="0" relativeHeight="251656704" behindDoc="0" locked="0" layoutInCell="0" allowOverlap="1">
                <wp:simplePos x="0" y="0"/>
                <wp:positionH relativeFrom="column">
                  <wp:posOffset>7499350</wp:posOffset>
                </wp:positionH>
                <wp:positionV relativeFrom="paragraph">
                  <wp:posOffset>275590</wp:posOffset>
                </wp:positionV>
                <wp:extent cx="1221105" cy="1780540"/>
                <wp:effectExtent l="0" t="0" r="0" b="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1780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2EE9" w:rsidRDefault="00F32C6C">
                            <w:pPr>
                              <w:pBdr>
                                <w:left w:val="single" w:sz="12" w:space="9" w:color="4F81BD" w:themeColor="accent1"/>
                              </w:pBdr>
                              <w:spacing w:after="0"/>
                            </w:pPr>
                            <w:r>
                              <w:rPr>
                                <w:rStyle w:val="fontstyle01"/>
                              </w:rPr>
                              <w:t xml:space="preserve">Em 2018 o IFAC pagou </w:t>
                            </w:r>
                            <w:r>
                              <w:rPr>
                                <w:rStyle w:val="fontstyle21"/>
                                <w:color w:val="8DB3E2" w:themeColor="text2" w:themeTint="66"/>
                              </w:rPr>
                              <w:t>65</w:t>
                            </w:r>
                            <w:r w:rsidR="004C7705">
                              <w:rPr>
                                <w:rStyle w:val="fontstyle21"/>
                                <w:color w:val="8DB3E2" w:themeColor="text2" w:themeTint="66"/>
                              </w:rPr>
                              <w:t>,78</w:t>
                            </w:r>
                            <w:r>
                              <w:rPr>
                                <w:rStyle w:val="fontstyle21"/>
                                <w:color w:val="8DB3E2" w:themeColor="text2" w:themeTint="66"/>
                              </w:rPr>
                              <w:t>% dos restos a pagar</w:t>
                            </w:r>
                            <w:r>
                              <w:rPr>
                                <w:rFonts w:ascii="FiraSansCondensed-Medium" w:hAnsi="FiraSansCondensed-Medium"/>
                                <w:color w:val="F29277"/>
                              </w:rPr>
                              <w:br/>
                            </w:r>
                            <w:r>
                              <w:rPr>
                                <w:rStyle w:val="fontstyle01"/>
                              </w:rPr>
                              <w:t>de exercícios anteriores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29" type="#_x0000_t202" style="position:absolute;left:0;text-align:left;margin-left:590.5pt;margin-top:21.7pt;width:96.15pt;height:140.2pt;z-index:251656704;visibility:visible;mso-wrap-style:square;mso-wrap-distance-left:9pt;mso-wrap-distance-top:9.35pt;mso-wrap-distance-right:9pt;mso-wrap-distance-bottom:9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" o:allowincell="f" filled="f" stroked="f">
                <v:textbox>
                  <w:txbxContent>
                    <w:p w:rsidR="00472EE9" w:rsidRDefault="00F32C6C">
                      <w:pPr>
                        <w:pBdr>
                          <w:left w:val="single" w:sz="12" w:space="9" w:color="4F81BD" w:themeColor="accent1"/>
                        </w:pBdr>
                        <w:spacing w:after="0"/>
                      </w:pPr>
                      <w:r>
                        <w:rPr>
                          <w:rStyle w:val="fontstyle01"/>
                        </w:rPr>
                        <w:t xml:space="preserve">Em 2018 o IFAC pagou </w:t>
                      </w:r>
                      <w:r>
                        <w:rPr>
                          <w:rStyle w:val="fontstyle21"/>
                          <w:color w:val="8DB3E2" w:themeColor="text2" w:themeTint="66"/>
                        </w:rPr>
                        <w:t>65</w:t>
                      </w:r>
                      <w:r w:rsidR="004C7705">
                        <w:rPr>
                          <w:rStyle w:val="fontstyle21"/>
                          <w:color w:val="8DB3E2" w:themeColor="text2" w:themeTint="66"/>
                        </w:rPr>
                        <w:t>,78</w:t>
                      </w:r>
                      <w:r>
                        <w:rPr>
                          <w:rStyle w:val="fontstyle21"/>
                          <w:color w:val="8DB3E2" w:themeColor="text2" w:themeTint="66"/>
                        </w:rPr>
                        <w:t>% dos restos a pagar</w:t>
                      </w:r>
                      <w:r>
                        <w:rPr>
                          <w:rFonts w:ascii="FiraSansCondensed-Medium" w:hAnsi="FiraSansCondensed-Medium"/>
                          <w:color w:val="F29277"/>
                        </w:rPr>
                        <w:br/>
                      </w:r>
                      <w:r>
                        <w:rPr>
                          <w:rStyle w:val="fontstyle01"/>
                        </w:rPr>
                        <w:t>de exercícios anteriores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7CFB">
        <w:rPr>
          <w:noProof/>
          <w:lang w:eastAsia="pt-BR"/>
        </w:rPr>
        <w:drawing>
          <wp:inline distT="0" distB="0" distL="0" distR="0" wp14:anchorId="6847613B" wp14:editId="156A0042">
            <wp:extent cx="7153910" cy="2476500"/>
            <wp:effectExtent l="0" t="0" r="889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m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8737" cy="253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E9" w:rsidRDefault="00472EE9"/>
    <w:p w:rsidR="00472EE9" w:rsidRDefault="00E967B9">
      <w:pPr>
        <w:tabs>
          <w:tab w:val="left" w:pos="7655"/>
        </w:tabs>
        <w:rPr>
          <w:rStyle w:val="Forte"/>
        </w:rPr>
      </w:pPr>
      <w:r>
        <w:rPr>
          <w:rStyle w:val="Forte"/>
          <w:noProof/>
          <w:lang w:eastAsia="pt-BR"/>
        </w:rPr>
        <mc:AlternateContent>
          <mc:Choice Requires="wps">
            <w:drawing>
              <wp:anchor distT="118745" distB="118745" distL="114300" distR="114300" simplePos="0" relativeHeight="251665408" behindDoc="0" locked="0" layoutInCell="0" allowOverlap="1" wp14:anchorId="52993F95" wp14:editId="5C291D2E">
                <wp:simplePos x="0" y="0"/>
                <wp:positionH relativeFrom="column">
                  <wp:posOffset>-71755</wp:posOffset>
                </wp:positionH>
                <wp:positionV relativeFrom="paragraph">
                  <wp:posOffset>1270</wp:posOffset>
                </wp:positionV>
                <wp:extent cx="4476115" cy="1076325"/>
                <wp:effectExtent l="0" t="0" r="0" b="0"/>
                <wp:wrapSquare wrapText="bothSides"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1076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2EE9" w:rsidRDefault="00F32C6C">
                            <w:pPr>
                              <w:rPr>
                                <w:rStyle w:val="Forte"/>
                              </w:rPr>
                            </w:pPr>
                            <w:r>
                              <w:rPr>
                                <w:rStyle w:val="Forte"/>
                              </w:rPr>
                              <w:t>Balanço Financeiro</w:t>
                            </w:r>
                          </w:p>
                          <w:p w:rsidR="00472EE9" w:rsidRDefault="00F32C6C">
                            <w:pPr>
                              <w:pBdr>
                                <w:left w:val="single" w:sz="12" w:space="9" w:color="4F81BD" w:themeColor="accent1"/>
                              </w:pBdr>
                              <w:spacing w:after="0"/>
                            </w:pPr>
                            <w:r>
                              <w:t xml:space="preserve">O Balanço </w:t>
                            </w:r>
                            <w:proofErr w:type="gramStart"/>
                            <w:r>
                              <w:t>Financeiro  evidencia</w:t>
                            </w:r>
                            <w:proofErr w:type="gramEnd"/>
                            <w:r>
                              <w:t xml:space="preserve"> as receitas e despesas orçamentárias, bem como os ingressos e dispêndios </w:t>
                            </w:r>
                            <w:proofErr w:type="spellStart"/>
                            <w:r>
                              <w:t>extraorçamentários</w:t>
                            </w:r>
                            <w:proofErr w:type="spellEnd"/>
                            <w:r>
                              <w:t>, conjugados com os saldos de caixa do exercício anterior e os que se transferem para o início do exercício</w:t>
                            </w:r>
                            <w:r w:rsidR="00E967B9">
                              <w:t xml:space="preserve"> seguinte.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2993F95" id="_x0000_s1030" type="#_x0000_t202" style="position:absolute;margin-left:-5.65pt;margin-top:.1pt;width:352.45pt;height:84.75pt;z-index:251665408;visibility:visible;mso-wrap-style:square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" o:allowincell="f" filled="f" stroked="f">
                <v:textbox>
                  <w:txbxContent>
                    <w:p w:rsidR="00472EE9" w:rsidRDefault="00F32C6C">
                      <w:pPr>
                        <w:rPr>
                          <w:rStyle w:val="Forte"/>
                        </w:rPr>
                      </w:pPr>
                      <w:r>
                        <w:rPr>
                          <w:rStyle w:val="Forte"/>
                        </w:rPr>
                        <w:t>Balanço Financeiro</w:t>
                      </w:r>
                    </w:p>
                    <w:p w:rsidR="00472EE9" w:rsidRDefault="00F32C6C">
                      <w:pPr>
                        <w:pBdr>
                          <w:left w:val="single" w:sz="12" w:space="9" w:color="4F81BD" w:themeColor="accent1"/>
                        </w:pBdr>
                        <w:spacing w:after="0"/>
                      </w:pPr>
                      <w:r>
                        <w:t xml:space="preserve">O Balanço </w:t>
                      </w:r>
                      <w:proofErr w:type="gramStart"/>
                      <w:r>
                        <w:t>Financeiro  evidencia</w:t>
                      </w:r>
                      <w:proofErr w:type="gramEnd"/>
                      <w:r>
                        <w:t xml:space="preserve"> as receitas e despesas orçamentárias, bem como os ingressos e dispêndios </w:t>
                      </w:r>
                      <w:proofErr w:type="spellStart"/>
                      <w:r>
                        <w:t>extraorçamentários</w:t>
                      </w:r>
                      <w:proofErr w:type="spellEnd"/>
                      <w:r>
                        <w:t>, conjugados com os saldos de caixa do exercício anterior e os que se transferem para o início do exercício</w:t>
                      </w:r>
                      <w:r w:rsidR="00E967B9">
                        <w:t xml:space="preserve"> seguinte.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2C6C">
        <w:rPr>
          <w:rStyle w:val="Forte"/>
          <w:noProof/>
          <w:lang w:eastAsia="pt-BR"/>
        </w:rPr>
        <mc:AlternateContent>
          <mc:Choice Requires="wps">
            <w:drawing>
              <wp:anchor distT="118745" distB="118745" distL="114300" distR="114300" simplePos="0" relativeHeight="251667456" behindDoc="0" locked="0" layoutInCell="0" allowOverlap="1" wp14:anchorId="72C30C6B" wp14:editId="3FC062C0">
                <wp:simplePos x="0" y="0"/>
                <wp:positionH relativeFrom="column">
                  <wp:posOffset>4531360</wp:posOffset>
                </wp:positionH>
                <wp:positionV relativeFrom="paragraph">
                  <wp:posOffset>0</wp:posOffset>
                </wp:positionV>
                <wp:extent cx="4175760" cy="955040"/>
                <wp:effectExtent l="0" t="0" r="0" b="0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955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2EE9" w:rsidRDefault="00F32C6C">
                            <w:pPr>
                              <w:rPr>
                                <w:rStyle w:val="Forte"/>
                              </w:rPr>
                            </w:pPr>
                            <w:r>
                              <w:rPr>
                                <w:rStyle w:val="Forte"/>
                              </w:rPr>
                              <w:t>Demonstração dos Fluxos de Caixa</w:t>
                            </w:r>
                          </w:p>
                          <w:p w:rsidR="00472EE9" w:rsidRDefault="00F32C6C">
                            <w:pPr>
                              <w:jc w:val="both"/>
                            </w:pPr>
                            <w:r>
                              <w:t>A Demonstração dos Fluxos de Caixa (DFC) apresenta as entradas e saídas de caixa e as classifica em fluxos operacional, de investimento e de financiamento.</w:t>
                            </w:r>
                          </w:p>
                          <w:p w:rsidR="00472EE9" w:rsidRDefault="00472EE9">
                            <w:pPr>
                              <w:pBdr>
                                <w:left w:val="single" w:sz="12" w:space="9" w:color="4F81BD" w:themeColor="accent1"/>
                              </w:pBd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2C30C6B" id="_x0000_s1031" type="#_x0000_t202" style="position:absolute;margin-left:356.8pt;margin-top:0;width:328.8pt;height:75.2pt;z-index:251667456;visibility:visible;mso-wrap-style:square;mso-wrap-distance-left:9pt;mso-wrap-distance-top:9.35pt;mso-wrap-distance-right:9pt;mso-wrap-distance-bottom:9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" o:allowincell="f" filled="f" stroked="f">
                <v:textbox>
                  <w:txbxContent>
                    <w:p w:rsidR="00472EE9" w:rsidRDefault="00F32C6C">
                      <w:pPr>
                        <w:rPr>
                          <w:rStyle w:val="Forte"/>
                        </w:rPr>
                      </w:pPr>
                      <w:r>
                        <w:rPr>
                          <w:rStyle w:val="Forte"/>
                        </w:rPr>
                        <w:t>Demonstração dos Fluxos de Caixa</w:t>
                      </w:r>
                    </w:p>
                    <w:p w:rsidR="00472EE9" w:rsidRDefault="00F32C6C">
                      <w:pPr>
                        <w:jc w:val="both"/>
                      </w:pPr>
                      <w:r>
                        <w:t>A Demonstração dos Fluxos de Caixa (DFC) apresenta as entradas e saídas de caixa e as classifica em fluxos operacional, de investimento e de financiamento.</w:t>
                      </w:r>
                    </w:p>
                    <w:p w:rsidR="00472EE9" w:rsidRDefault="00472EE9">
                      <w:pPr>
                        <w:pBdr>
                          <w:left w:val="single" w:sz="12" w:space="9" w:color="4F81BD" w:themeColor="accent1"/>
                        </w:pBd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2C6C"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1102360</wp:posOffset>
            </wp:positionV>
            <wp:extent cx="4544695" cy="3152775"/>
            <wp:effectExtent l="0" t="0" r="8255" b="9525"/>
            <wp:wrapSquare wrapText="bothSides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m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469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2C6C">
        <w:rPr>
          <w:noProof/>
          <w:lang w:eastAsia="pt-BR"/>
        </w:rPr>
        <w:drawing>
          <wp:inline distT="0" distB="0" distL="0" distR="0">
            <wp:extent cx="4175760" cy="3841115"/>
            <wp:effectExtent l="0" t="0" r="0" b="6985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m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8157" cy="386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E9" w:rsidRDefault="00F32C6C" w:rsidP="004B07AE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>As Transferências Financeiras Recebidas</w:t>
      </w:r>
      <w:r>
        <w:rPr>
          <w:rFonts w:ascii="Times New Roman" w:hAnsi="Times New Roman" w:cs="Times New Roman"/>
          <w:b/>
          <w:sz w:val="24"/>
          <w:szCs w:val="24"/>
        </w:rPr>
        <w:t xml:space="preserve">, que representam os </w:t>
      </w:r>
      <w:r>
        <w:rPr>
          <w:rFonts w:ascii="Times New Roman" w:hAnsi="Times New Roman" w:cs="Times New Roman"/>
          <w:sz w:val="24"/>
          <w:szCs w:val="24"/>
        </w:rPr>
        <w:t xml:space="preserve">repasses do Ministério da Educação, </w:t>
      </w:r>
      <w:r>
        <w:rPr>
          <w:rFonts w:ascii="Times New Roman" w:hAnsi="Times New Roman" w:cs="Times New Roman"/>
          <w:b/>
          <w:sz w:val="24"/>
          <w:szCs w:val="24"/>
        </w:rPr>
        <w:t>totalizou</w:t>
      </w:r>
      <w:r>
        <w:rPr>
          <w:rFonts w:ascii="Times New Roman" w:hAnsi="Times New Roman" w:cs="Times New Roman"/>
          <w:sz w:val="24"/>
          <w:szCs w:val="24"/>
        </w:rPr>
        <w:t xml:space="preserve"> com o montante de R$ 114.921.811,55 (cento e catorze milhões, novecentos e vinte e um mil, oitocentos e onze reais e cinquenta e cinco centavos) representam significativamente </w:t>
      </w:r>
      <w:r>
        <w:rPr>
          <w:rFonts w:ascii="Times New Roman" w:hAnsi="Times New Roman" w:cs="Times New Roman"/>
          <w:color w:val="00B0F0"/>
          <w:sz w:val="40"/>
          <w:szCs w:val="40"/>
        </w:rPr>
        <w:t>83,89%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 Ingressos em 2018.</w:t>
      </w:r>
    </w:p>
    <w:p w:rsidR="00472EE9" w:rsidRDefault="00472EE9">
      <w:pPr>
        <w:rPr>
          <w:rStyle w:val="Forte"/>
        </w:rPr>
      </w:pPr>
    </w:p>
    <w:p w:rsidR="00472EE9" w:rsidRDefault="00F32C6C">
      <w:pPr>
        <w:rPr>
          <w:rStyle w:val="Forte"/>
        </w:rPr>
      </w:pPr>
      <w:r>
        <w:rPr>
          <w:rStyle w:val="Forte"/>
        </w:rPr>
        <w:t>Demonstrações da Mutações do Patrimônio Líquido</w:t>
      </w:r>
    </w:p>
    <w:p w:rsidR="00472EE9" w:rsidRDefault="00F32C6C">
      <w:pPr>
        <w:jc w:val="both"/>
      </w:pPr>
      <w:r>
        <w:t>A Demonstração das Mutações no Patrimônio Líquido (DMPL) demonstra a evolução (aumento ou redução) do patrimônio líquido da entidade durante o exercício de 2018.</w:t>
      </w:r>
    </w:p>
    <w:p w:rsidR="00472EE9" w:rsidRDefault="00F32C6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200015" cy="1712595"/>
            <wp:effectExtent l="0" t="0" r="635" b="190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m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5594" cy="171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E9" w:rsidRDefault="00472EE9">
      <w:pPr>
        <w:jc w:val="both"/>
      </w:pPr>
    </w:p>
    <w:p w:rsidR="00472EE9" w:rsidRDefault="00472EE9">
      <w:pPr>
        <w:jc w:val="both"/>
      </w:pPr>
    </w:p>
    <w:p w:rsidR="00472EE9" w:rsidRDefault="00472EE9">
      <w:pPr>
        <w:jc w:val="both"/>
      </w:pPr>
    </w:p>
    <w:p w:rsidR="00472EE9" w:rsidRDefault="00472EE9">
      <w:pPr>
        <w:jc w:val="both"/>
      </w:pPr>
    </w:p>
    <w:p w:rsidR="00472EE9" w:rsidRDefault="00472EE9">
      <w:pPr>
        <w:jc w:val="both"/>
      </w:pPr>
    </w:p>
    <w:p w:rsidR="00472EE9" w:rsidRDefault="00F32C6C">
      <w:pPr>
        <w:pBdr>
          <w:bottom w:val="single" w:sz="6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1.Informações Gerais:</w:t>
      </w:r>
    </w:p>
    <w:p w:rsidR="00472EE9" w:rsidRDefault="00472E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2EE9" w:rsidRDefault="00F32C6C">
      <w:pPr>
        <w:rPr>
          <w:rStyle w:val="Forte"/>
          <w:sz w:val="24"/>
          <w:szCs w:val="24"/>
        </w:rPr>
      </w:pPr>
      <w:r>
        <w:rPr>
          <w:rStyle w:val="Forte"/>
          <w:sz w:val="24"/>
          <w:szCs w:val="24"/>
        </w:rPr>
        <w:t>Natureza jurídica da entidade; domicílio da entidade; natureza das operações e principais atividades da entidade; declaração de conformidade com a legislação e com as normas de contabilidade aplicáveis;</w:t>
      </w:r>
    </w:p>
    <w:p w:rsidR="00472EE9" w:rsidRDefault="00472E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2EE9" w:rsidRDefault="00F32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Instituto Federal do Acre estabelecido pela Lei n°11.892, de 29 de dezembro de 2008, é uma Autarquia Federal, localizado no endereço: Rua Coronel José Galdino, nº 495, CEP: 69.900-640, Bairro: Bosque, Município: Rio Branco. </w:t>
      </w:r>
      <w:proofErr w:type="gramStart"/>
      <w:r>
        <w:rPr>
          <w:rFonts w:ascii="Times New Roman" w:hAnsi="Times New Roman" w:cs="Times New Roman"/>
          <w:sz w:val="24"/>
          <w:szCs w:val="24"/>
        </w:rPr>
        <w:t>A natureza das operações englobam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aspectos de natureza orçamentária, econômica, financeira e física do patrimônio da entidade do setor público e suas mutações. Está registrado sob o código e descrição da atividade econômica principal: 85.42200 – Educação profissional de nível tecnológico.</w:t>
      </w:r>
    </w:p>
    <w:p w:rsidR="00472EE9" w:rsidRDefault="00F32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Demonstrações Contábeis do IFAC são elaboradas em consonância com os dispositivos da Lei nº 4.320/1964, do Decreto-Lei nº 200/1967, do Decreto nº 93.872/1986, da Lei Complementar nº 101/2000 (LRF). Abrangem também as NBCASP </w:t>
      </w:r>
      <w:r>
        <w:rPr>
          <w:rFonts w:ascii="Times New Roman" w:hAnsi="Times New Roman" w:cs="Times New Roman"/>
          <w:i/>
          <w:iCs/>
          <w:sz w:val="24"/>
          <w:szCs w:val="24"/>
        </w:rPr>
        <w:t>(Resoluções do CFC nº 1.134 a 1.137/2008 e nº 1.366/2011</w:t>
      </w:r>
      <w:r>
        <w:rPr>
          <w:rFonts w:ascii="Times New Roman" w:hAnsi="Times New Roman" w:cs="Times New Roman"/>
          <w:sz w:val="24"/>
          <w:szCs w:val="24"/>
        </w:rPr>
        <w:t>) (</w:t>
      </w:r>
      <w:r>
        <w:rPr>
          <w:rFonts w:ascii="Times New Roman" w:hAnsi="Times New Roman" w:cs="Times New Roman"/>
          <w:i/>
          <w:iCs/>
          <w:sz w:val="24"/>
          <w:szCs w:val="24"/>
        </w:rPr>
        <w:t>NBC T 16.6 R1 e 16.7 a 16.11</w:t>
      </w:r>
      <w:r>
        <w:rPr>
          <w:rFonts w:ascii="Times New Roman" w:hAnsi="Times New Roman" w:cs="Times New Roman"/>
          <w:sz w:val="24"/>
          <w:szCs w:val="24"/>
        </w:rPr>
        <w:t xml:space="preserve">); as </w:t>
      </w:r>
      <w:r>
        <w:rPr>
          <w:rFonts w:ascii="Times New Roman" w:hAnsi="Times New Roman" w:cs="Times New Roman"/>
          <w:i/>
          <w:iCs/>
          <w:sz w:val="24"/>
          <w:szCs w:val="24"/>
        </w:rPr>
        <w:t>NBC TSP (Estrutura Conceitual, NBC TSP nº 01 a 10</w:t>
      </w:r>
      <w:r>
        <w:rPr>
          <w:rFonts w:ascii="Times New Roman" w:hAnsi="Times New Roman" w:cs="Times New Roman"/>
          <w:sz w:val="24"/>
          <w:szCs w:val="24"/>
        </w:rPr>
        <w:t xml:space="preserve">); as instruções descritas no Manual de Contabilidade Aplicada ao Setor Público (MCASP), 7ª edição; a estrutura proposta no Plano de Contas Aplicado ao Setor Público (PCASP) </w:t>
      </w:r>
      <w:r>
        <w:rPr>
          <w:rFonts w:ascii="Times New Roman" w:hAnsi="Times New Roman" w:cs="Times New Roman"/>
          <w:i/>
          <w:iCs/>
          <w:sz w:val="24"/>
          <w:szCs w:val="24"/>
        </w:rPr>
        <w:t>(Portaria STN nº 700/2014)</w:t>
      </w:r>
      <w:r>
        <w:rPr>
          <w:rFonts w:ascii="Times New Roman" w:hAnsi="Times New Roman" w:cs="Times New Roman"/>
          <w:sz w:val="24"/>
          <w:szCs w:val="24"/>
        </w:rPr>
        <w:t>, bem como o Manual SIAFI, que contém orientações e procedimentos específicos por assunto.</w:t>
      </w:r>
    </w:p>
    <w:p w:rsidR="00472EE9" w:rsidRDefault="00F32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Quanto a NBCT 16.9 e 16.10, este órgão ainda não está aplicando integralmente, em relação ao tratamento contábil da depreciação, amortização e exaustão dos itens do patrimônio, conforme restrição contábil 642 – Falta/Evolução incompatível Depreciação Ativo Imobilizado registrado na conformidade contábil, pois, foi adquirido o sistema SIPAC e no momento da migração dos dados do patrimônio constatou-se alguns equívocos quanto a classificação contábil, está sendo feito ajustes entre SIAFI e SIPAC, para que seja possível o registro de informações corretas e posterior emissão de relatórios para  o registro dos cálculos da depreciação e amortização, bem como, no que tange a Avaliação e Mensuração de Ativos e Passivos.</w:t>
      </w:r>
    </w:p>
    <w:p w:rsidR="00472EE9" w:rsidRDefault="00472E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EE9" w:rsidRDefault="00472EE9">
      <w:pPr>
        <w:rPr>
          <w:rFonts w:ascii="Times New Roman" w:hAnsi="Times New Roman" w:cs="Times New Roman"/>
          <w:sz w:val="24"/>
          <w:szCs w:val="24"/>
        </w:rPr>
      </w:pPr>
    </w:p>
    <w:p w:rsidR="00472EE9" w:rsidRDefault="00F32C6C">
      <w:pPr>
        <w:pBdr>
          <w:bottom w:val="single" w:sz="6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NOTAS EXPLICATIVAS</w:t>
      </w:r>
    </w:p>
    <w:p w:rsidR="00472EE9" w:rsidRDefault="00472E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BALANÇO ORÇAMENTÁRIO</w:t>
      </w:r>
    </w:p>
    <w:p w:rsidR="00472EE9" w:rsidRDefault="00472EE9">
      <w:pPr>
        <w:rPr>
          <w:rFonts w:ascii="Times New Roman" w:hAnsi="Times New Roman" w:cs="Times New Roman"/>
          <w:b/>
          <w:sz w:val="24"/>
          <w:szCs w:val="24"/>
        </w:rPr>
      </w:pP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Nota 1 - RECEITAS</w:t>
      </w:r>
    </w:p>
    <w:p w:rsidR="00472EE9" w:rsidRDefault="00472EE9">
      <w:pPr>
        <w:rPr>
          <w:rFonts w:ascii="Times New Roman" w:hAnsi="Times New Roman" w:cs="Times New Roman"/>
          <w:b/>
          <w:sz w:val="24"/>
          <w:szCs w:val="24"/>
        </w:rPr>
      </w:pPr>
    </w:p>
    <w:p w:rsidR="00472EE9" w:rsidRDefault="00F32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 quarto trimestre de 2018, as </w:t>
      </w:r>
      <w:r>
        <w:rPr>
          <w:rFonts w:ascii="Times New Roman" w:hAnsi="Times New Roman" w:cs="Times New Roman"/>
          <w:color w:val="00B0F0"/>
          <w:sz w:val="28"/>
          <w:szCs w:val="28"/>
        </w:rPr>
        <w:t>Receitas Realizadas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(arrecadadas) totalizaram </w:t>
      </w:r>
      <w:r>
        <w:rPr>
          <w:rFonts w:ascii="Times New Roman" w:hAnsi="Times New Roman" w:cs="Times New Roman"/>
          <w:color w:val="00B0F0"/>
          <w:sz w:val="28"/>
          <w:szCs w:val="28"/>
        </w:rPr>
        <w:t>R$ 54.627,20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(cinquenta e quatro mil, seiscentos e vinte e sete reais e vinte centavos) e estão detalhadas na tabela abaixo:</w:t>
      </w: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01 – Receitas – Composição</w:t>
      </w:r>
    </w:p>
    <w:p w:rsidR="00472EE9" w:rsidRDefault="00F32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232400" cy="1409700"/>
            <wp:effectExtent l="0" t="0" r="635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E9" w:rsidRDefault="00F32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Fonte: SIAFI WEB, BO 2018.</w:t>
      </w:r>
    </w:p>
    <w:p w:rsidR="00472EE9" w:rsidRDefault="00472EE9">
      <w:pPr>
        <w:rPr>
          <w:rFonts w:ascii="Times New Roman" w:hAnsi="Times New Roman" w:cs="Times New Roman"/>
          <w:b/>
          <w:sz w:val="24"/>
          <w:szCs w:val="24"/>
        </w:rPr>
      </w:pPr>
    </w:p>
    <w:p w:rsidR="00472EE9" w:rsidRDefault="00472EE9">
      <w:pPr>
        <w:rPr>
          <w:rFonts w:ascii="Times New Roman" w:hAnsi="Times New Roman" w:cs="Times New Roman"/>
          <w:b/>
          <w:sz w:val="24"/>
          <w:szCs w:val="24"/>
        </w:rPr>
      </w:pPr>
    </w:p>
    <w:p w:rsidR="00472EE9" w:rsidRDefault="00F32C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B0F0"/>
          <w:sz w:val="28"/>
          <w:szCs w:val="28"/>
        </w:rPr>
        <w:t>Receita Patrimonial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valor de </w:t>
      </w:r>
      <w:r>
        <w:rPr>
          <w:rFonts w:ascii="Times New Roman" w:hAnsi="Times New Roman" w:cs="Times New Roman"/>
          <w:color w:val="00B0F0"/>
          <w:sz w:val="28"/>
          <w:szCs w:val="28"/>
        </w:rPr>
        <w:t>R$ 12.575,52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(doze mil, quinhentos e setenta e cinco reais e cinquenta e dois centavos), refere-se aos </w:t>
      </w:r>
      <w:r>
        <w:rPr>
          <w:rFonts w:ascii="Times New Roman" w:hAnsi="Times New Roman" w:cs="Times New Roman"/>
          <w:color w:val="00B0F0"/>
          <w:sz w:val="28"/>
          <w:szCs w:val="28"/>
        </w:rPr>
        <w:t>contratos de aluguéis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recebidos com o código 28802-0 –Aluguéis, em fonte própria, cujo objeto é a concessão onerosa de uso de espaço público para exploração comercial de serviços de reprografia, conforme contrato n. 23/2018 e concessão onerosa de uso de bem público para a instalação e exploração de serviços de restaurante/lanchonete, contrato de receita n. 20/2018, ambos do Campus Rio Branco. </w:t>
      </w:r>
    </w:p>
    <w:p w:rsidR="00472EE9" w:rsidRDefault="00F32C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valor de Receitas de Serviços refere-se às receitas com taxa de inscrição em pós-graduação.</w:t>
      </w:r>
    </w:p>
    <w:p w:rsidR="00472EE9" w:rsidRDefault="00F32C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maior valor recebido de receitas são referentes ao Grupo Outras Receitas Correntes, no subgrupo Indenizações, Restituições e Ressarcimentos que referem-se a valores devolvidos pelos servidores de anulação de despesas (diárias, folha de pagamento pessoal cedido, </w:t>
      </w:r>
      <w:proofErr w:type="gramStart"/>
      <w:r>
        <w:rPr>
          <w:rFonts w:ascii="Times New Roman" w:hAnsi="Times New Roman" w:cs="Times New Roman"/>
          <w:sz w:val="24"/>
          <w:szCs w:val="24"/>
        </w:rPr>
        <w:t>etc...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valores recebidos a maior.</w:t>
      </w:r>
    </w:p>
    <w:p w:rsidR="00472EE9" w:rsidRDefault="00472EE9">
      <w:pPr>
        <w:rPr>
          <w:rFonts w:ascii="Times New Roman" w:hAnsi="Times New Roman" w:cs="Times New Roman"/>
          <w:sz w:val="24"/>
          <w:szCs w:val="24"/>
        </w:rPr>
      </w:pP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Nota 2 - DESPESAS</w:t>
      </w:r>
    </w:p>
    <w:p w:rsidR="00472EE9" w:rsidRDefault="00F32C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quarto trimestre de 2018, da Dotação Inicial de R$ 104.261.882,00 (cento e quatro milhões, duzentos e sessenta e um mil, oitocentos e oitenta e dois reais) houve um acréscimo na dotação atualizada passando para R$ 114.153.635,00 (cento e quatorze milhões, cento e cinquenta e três mil, seiscentos e trinta e cinco reais).</w:t>
      </w:r>
    </w:p>
    <w:p w:rsidR="00472EE9" w:rsidRDefault="00F32C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total da Dotação Atualizada das despesas correntes foram executados 99,89% e da dotação atualizada das Despesas de Capital a execução foi de 126,41%, conforme tabela abaixo:</w:t>
      </w: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02 – Despesas Executadas – Composição</w:t>
      </w:r>
    </w:p>
    <w:p w:rsidR="00472EE9" w:rsidRDefault="00F32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6813550" cy="882650"/>
            <wp:effectExtent l="0" t="0" r="635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35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Fonte: SIAFI WEB, BO 2018.</w:t>
      </w:r>
    </w:p>
    <w:p w:rsidR="002100A1" w:rsidRDefault="00F32C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Verifica-se que o </w:t>
      </w:r>
      <w:r>
        <w:rPr>
          <w:rFonts w:ascii="Times New Roman" w:hAnsi="Times New Roman" w:cs="Times New Roman"/>
          <w:color w:val="00B0F0"/>
          <w:sz w:val="28"/>
          <w:szCs w:val="28"/>
        </w:rPr>
        <w:t>total das despesas empenhadas</w:t>
      </w:r>
      <w:r>
        <w:rPr>
          <w:rFonts w:ascii="Times New Roman" w:hAnsi="Times New Roman" w:cs="Times New Roman"/>
          <w:sz w:val="24"/>
          <w:szCs w:val="24"/>
        </w:rPr>
        <w:t xml:space="preserve">, foi superior a dotação atualizada, significa que o órgão, </w:t>
      </w:r>
      <w:r>
        <w:rPr>
          <w:rFonts w:ascii="Times New Roman" w:hAnsi="Times New Roman" w:cs="Times New Roman"/>
          <w:color w:val="00B0F0"/>
          <w:sz w:val="28"/>
          <w:szCs w:val="28"/>
        </w:rPr>
        <w:t>além do seu próprio orçamento, executou despesas com o orçamento de outros órgãos por meio de recebimentos de créditos orçamentários</w:t>
      </w:r>
      <w:r>
        <w:rPr>
          <w:rFonts w:ascii="Times New Roman" w:hAnsi="Times New Roman" w:cs="Times New Roman"/>
          <w:sz w:val="24"/>
          <w:szCs w:val="24"/>
        </w:rPr>
        <w:t xml:space="preserve">, conforme conta 522220101 - Destaque recebido, que consta o </w:t>
      </w:r>
      <w:r>
        <w:rPr>
          <w:rFonts w:ascii="Times New Roman" w:hAnsi="Times New Roman" w:cs="Times New Roman"/>
          <w:color w:val="00B0F0"/>
          <w:sz w:val="28"/>
          <w:szCs w:val="28"/>
        </w:rPr>
        <w:t>valor de R$ 4.305.402,16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(quatro milhões, trezentos e cinco mil, quatrocentos e d</w:t>
      </w:r>
      <w:r w:rsidR="00551FC8">
        <w:rPr>
          <w:rFonts w:ascii="Times New Roman" w:hAnsi="Times New Roman" w:cs="Times New Roman"/>
          <w:sz w:val="24"/>
          <w:szCs w:val="24"/>
        </w:rPr>
        <w:t>ois reais e dezesseis centavos), conforme especificado a seguir:</w:t>
      </w:r>
    </w:p>
    <w:p w:rsidR="009F61D6" w:rsidRDefault="009F61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6FE">
        <w:rPr>
          <w:noProof/>
          <w:lang w:eastAsia="pt-BR"/>
        </w:rPr>
        <w:drawing>
          <wp:inline distT="0" distB="0" distL="0" distR="0" wp14:anchorId="65F680FA" wp14:editId="3CBEE018">
            <wp:extent cx="8286750" cy="40005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7492" cy="400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E9" w:rsidRDefault="00F32C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próxima tabela são apresentadas as Despesas Correntes e de Capital executadas por grupo. Das Despesas Correntes, o grupo que apresentou o maior percentual de execução referente a dotação atualizada foi o de Outras Despesas Correntes, com 102,63% e apenas 20,89% do total das Despesas Empenhadas; enquanto que o grupo Pessoal e Encargos Sociais, teve a execução correspondente a 99,14% do montante da dotação atualizada, representando 73,49% do total de Empenhos.</w:t>
      </w:r>
    </w:p>
    <w:p w:rsidR="00472EE9" w:rsidRDefault="00472EE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03 – Despesas Correntes e de Capital Executadas por grupo – Composição</w:t>
      </w:r>
    </w:p>
    <w:p w:rsidR="00472EE9" w:rsidRDefault="006C4A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A27">
        <w:rPr>
          <w:noProof/>
          <w:lang w:eastAsia="pt-BR"/>
        </w:rPr>
        <w:drawing>
          <wp:inline distT="0" distB="0" distL="0" distR="0">
            <wp:extent cx="8646914" cy="1666875"/>
            <wp:effectExtent l="0" t="0" r="1905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758" cy="166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E9" w:rsidRDefault="00F32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Fonte: SIAFI WEB, BO 2018.</w:t>
      </w:r>
    </w:p>
    <w:p w:rsidR="00472EE9" w:rsidRDefault="00472EE9">
      <w:pPr>
        <w:rPr>
          <w:rFonts w:ascii="Times New Roman" w:hAnsi="Times New Roman" w:cs="Times New Roman"/>
          <w:sz w:val="24"/>
          <w:szCs w:val="24"/>
        </w:rPr>
      </w:pPr>
    </w:p>
    <w:p w:rsidR="00472EE9" w:rsidRDefault="00472EE9">
      <w:pPr>
        <w:rPr>
          <w:rFonts w:ascii="Times New Roman" w:hAnsi="Times New Roman" w:cs="Times New Roman"/>
          <w:sz w:val="24"/>
          <w:szCs w:val="24"/>
        </w:rPr>
      </w:pPr>
    </w:p>
    <w:p w:rsidR="00472EE9" w:rsidRDefault="00472EE9">
      <w:pPr>
        <w:rPr>
          <w:rFonts w:ascii="Times New Roman" w:hAnsi="Times New Roman" w:cs="Times New Roman"/>
          <w:sz w:val="24"/>
          <w:szCs w:val="24"/>
        </w:rPr>
      </w:pPr>
    </w:p>
    <w:p w:rsidR="002100A1" w:rsidRDefault="002100A1">
      <w:pPr>
        <w:rPr>
          <w:rFonts w:ascii="Times New Roman" w:hAnsi="Times New Roman" w:cs="Times New Roman"/>
          <w:sz w:val="24"/>
          <w:szCs w:val="24"/>
        </w:rPr>
      </w:pPr>
    </w:p>
    <w:p w:rsidR="002100A1" w:rsidRDefault="002100A1">
      <w:pPr>
        <w:rPr>
          <w:rFonts w:ascii="Times New Roman" w:hAnsi="Times New Roman" w:cs="Times New Roman"/>
          <w:sz w:val="24"/>
          <w:szCs w:val="24"/>
        </w:rPr>
      </w:pPr>
    </w:p>
    <w:p w:rsidR="002100A1" w:rsidRDefault="002100A1">
      <w:pPr>
        <w:rPr>
          <w:rFonts w:ascii="Times New Roman" w:hAnsi="Times New Roman" w:cs="Times New Roman"/>
          <w:sz w:val="24"/>
          <w:szCs w:val="24"/>
        </w:rPr>
      </w:pP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BALANÇO FINANCEIRO</w:t>
      </w:r>
    </w:p>
    <w:p w:rsidR="00472EE9" w:rsidRDefault="00472EE9">
      <w:pPr>
        <w:rPr>
          <w:rFonts w:ascii="Times New Roman" w:hAnsi="Times New Roman" w:cs="Times New Roman"/>
          <w:b/>
          <w:sz w:val="16"/>
          <w:szCs w:val="16"/>
        </w:rPr>
      </w:pPr>
    </w:p>
    <w:p w:rsidR="00472EE9" w:rsidRDefault="00F32C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IFAC registrou, no quarto trimestre de 2018, em seu Balanço Financeiro, </w:t>
      </w:r>
      <w:r>
        <w:rPr>
          <w:rFonts w:ascii="Times New Roman" w:hAnsi="Times New Roman" w:cs="Times New Roman"/>
          <w:color w:val="00B0F0"/>
          <w:sz w:val="28"/>
          <w:szCs w:val="28"/>
        </w:rPr>
        <w:t>Ingressos e Dispêndios</w:t>
      </w:r>
      <w:r>
        <w:rPr>
          <w:rFonts w:ascii="Times New Roman" w:hAnsi="Times New Roman" w:cs="Times New Roman"/>
          <w:sz w:val="24"/>
          <w:szCs w:val="24"/>
        </w:rPr>
        <w:t xml:space="preserve">, na importância de                                  </w:t>
      </w:r>
      <w:r>
        <w:rPr>
          <w:rFonts w:ascii="Times New Roman" w:hAnsi="Times New Roman" w:cs="Times New Roman"/>
          <w:color w:val="00B0F0"/>
          <w:sz w:val="28"/>
          <w:szCs w:val="28"/>
        </w:rPr>
        <w:t>R$ 136.983.365,34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(cento e trinta e seis milhões, novecentos e oitenta e três mil, trezentos e sessenta e cinco reais e trinta e quatro centavos).</w:t>
      </w: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Nota 3 - INGRESSOS</w:t>
      </w:r>
    </w:p>
    <w:p w:rsidR="00472EE9" w:rsidRDefault="00F32C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tabela abaixo demonstra a composição dos Ingressos, registrados no Balanço Financeiro do IFAC, no quarto trimestre de 2018:</w:t>
      </w: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04 – Ingressos – Composição</w:t>
      </w:r>
    </w:p>
    <w:p w:rsidR="00472EE9" w:rsidRDefault="00F32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730750" cy="306959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2038" cy="310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Fonte: SIAFI WEB, BF 2018.</w:t>
      </w:r>
    </w:p>
    <w:p w:rsidR="00472EE9" w:rsidRDefault="00F32C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Receitas Orçamentárias registradas no Balanço Financeiro, do quarto trimestre de 2018, atingiram o montante de R$ 54.627,20 (cinquenta e quatro mil, seiscentos e vinte e sete reais e vinte centavos), correspondendo a apenas 0,04% do total de Ingressos. O subgrupo Educação corresponde às Receitas com indenizações, restituições e ressarcimentos, que referem-se a valores devolvidos pelos servidores de anulação de despesas (diárias, folha de pagamento pessoal cedido, etc.) ou valores recebidos a maior, que repassadas ao STN. Já o subgrupo Outros Recursos Vinculados a Órgãos e Programas está composto pelas contas de: Exploração do patrimônio, por meio dos Contratos de Receita n. 20 e 23/2018, que correspondem a concessão onerosa de uso do espaço público para lanchonete e serviços de reprografia, respectivamente, ambos do Campus Rio Branco; Serviços administrativos, que corresponde as receitas com taxa de inscrição em pós graduação; e Multas administrativas e contratuais, que corresponde aos recolhimentos de multa e juros previstos em Contrato, conforme processo n. 23244.001015/2011-99. </w:t>
      </w:r>
    </w:p>
    <w:p w:rsidR="00472EE9" w:rsidRDefault="00F32C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as Transferências Financeiras Recebidas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 repasses do Ministério da Educação (MEC), com o montante de R$ 114.921.811,55 (cento e catorze milhões, novecentos e vinte e um mil, oitocentos e onze reais e cinquenta e cinco centavos) representam significativamente 83,89% dos Ingressos em 2018, sendo o subgrupo Repasse Recebido o que tem o valor mais expressivo dentro do grupo R$ 105.951.309,29 (cento e cinco milhões, novecentos e cinquenta e um mil, trezentos e nove reais e vinte e nove centavos), representando 77,34% das Transferências Financeiras Recebidas.</w:t>
      </w:r>
    </w:p>
    <w:p w:rsidR="00472EE9" w:rsidRDefault="00F32C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Recebimentos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Extraorçamentários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registrados no Balanço Financeiro atingiram o valor de R$ 18.511.322,58 (dezoito milhões, quinhentos e onze mil, trezentos e vinte e dois reais e cinquenta e oito centavos), correspondendo a 13,51% do total de Ingressos.</w:t>
      </w:r>
    </w:p>
    <w:p w:rsidR="00472EE9" w:rsidRDefault="00472EE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00A1" w:rsidRDefault="002100A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00A1" w:rsidRDefault="002100A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E26BE" w:rsidRDefault="007E26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00A1" w:rsidRDefault="002100A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E26BE" w:rsidRDefault="007E26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00A1" w:rsidRDefault="002100A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00A1" w:rsidRDefault="002100A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E26BE" w:rsidRDefault="007E26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E26BE" w:rsidRDefault="007E26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E26BE" w:rsidRDefault="007E26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E26BE" w:rsidRDefault="007E26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E26BE" w:rsidRDefault="007E26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Nota 4 - DISPÊNDIOS</w:t>
      </w:r>
    </w:p>
    <w:p w:rsidR="00472EE9" w:rsidRDefault="00F32C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tabela abaixo demonstra a composição dos Dispêndios, registrados no Balanço Financeiro do IFAC até 31/12/2018:</w:t>
      </w: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05 – Dispêndios – Composição</w:t>
      </w:r>
    </w:p>
    <w:p w:rsidR="008C3885" w:rsidRDefault="008C3885" w:rsidP="008C3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885">
        <w:rPr>
          <w:noProof/>
          <w:lang w:eastAsia="pt-BR"/>
        </w:rPr>
        <w:drawing>
          <wp:inline distT="0" distB="0" distL="0" distR="0">
            <wp:extent cx="5467864" cy="4457700"/>
            <wp:effectExtent l="0" t="0" r="0" b="0"/>
            <wp:docPr id="674" name="Imagem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550" cy="44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E9" w:rsidRDefault="00F32C6C" w:rsidP="008C3885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Fonte: SIAFI WEB, BF 2018.</w:t>
      </w:r>
    </w:p>
    <w:p w:rsidR="00472EE9" w:rsidRDefault="00F32C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Despesas Orçamentárias registradas no Balanço Financeiro do quarto trimestre de 2018, atingiram o montante de R$ 115.393.475,44 (cento e quinze milhões, trezentos e noventa e três mil, quatrocentos e setenta e cinco reais e quarenta e quatro centavos), com o percentual de 84,23%, correspondendo quase que a totalidade dos Dispêndios. Já as Transferências Financeiras Concedidas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com o valor de R$ 888.371,13 (oitocentos e oitenta e oito mil, trezentos e setenta e um reais e treze centavos) representaram apenas 0,64% dos Dispêndios do quarto trimestre de 2018.</w:t>
      </w:r>
    </w:p>
    <w:p w:rsidR="00472EE9" w:rsidRDefault="00F32C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Despesas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Extraorçamentárias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registradas no Balanço Financeiro atingiram o montante de R$ 9.811.683,89 (nove milhões, oitocentos e onze mil, seiscentos e oitenta e três reais e oitenta e nove centavos), correspondendo a 7,16% do total de Dispêndios. O pagamento de Restos a Pagar Não Processados, com R$ 8.738.903,03 (oito milhões, setecentos e trinta e oito mil, novecentos e três reais e três centavos) representaram 6,37% das Despesas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Extraorçamentárias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2018. </w:t>
      </w:r>
    </w:p>
    <w:p w:rsidR="00472EE9" w:rsidRDefault="00472EE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BALANÇO PATRIMONIAL</w:t>
      </w: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Nota 5 - IMOBILIZADO </w:t>
      </w:r>
    </w:p>
    <w:p w:rsidR="00472EE9" w:rsidRDefault="00F32C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31/12/2018, o IFAC apresentou um saldo de R$ 56.462.062,98 (cinquenta e seis milhões, quatrocentos e sessenta e dois mil, sessenta e dois reais e noventa e oito centavos), relacionados ao Imobilizado.</w:t>
      </w:r>
    </w:p>
    <w:p w:rsidR="00472EE9" w:rsidRDefault="00F32C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tabela a seguir, é apresentada a composição do subgrupo Imobilizado, para o quarto trimestre dos anos de 2018 e 2017.</w:t>
      </w:r>
    </w:p>
    <w:p w:rsidR="00472EE9" w:rsidRDefault="00472EE9">
      <w:pPr>
        <w:rPr>
          <w:rFonts w:ascii="Times New Roman" w:hAnsi="Times New Roman" w:cs="Times New Roman"/>
          <w:sz w:val="24"/>
          <w:szCs w:val="24"/>
        </w:rPr>
      </w:pP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06 – Imobilizado – Composição</w:t>
      </w:r>
    </w:p>
    <w:p w:rsidR="00472EE9" w:rsidRDefault="00F32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7385050" cy="711200"/>
            <wp:effectExtent l="0" t="0" r="635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850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E9" w:rsidRDefault="00F32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Fonte: SIAFI, 2018 e 2017.</w:t>
      </w: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Nota 6 - BENS MÓVEIS</w:t>
      </w:r>
    </w:p>
    <w:p w:rsidR="00472EE9" w:rsidRDefault="00472EE9">
      <w:pPr>
        <w:pStyle w:val="PargrafodaLista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72EE9" w:rsidRDefault="00F32C6C">
      <w:pPr>
        <w:pStyle w:val="PargrafodaLista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Bens Móveis do IFAC estão distribuídos em várias contas contábeis. Na tabela a seguir, estão detalhados os grupos com seus respectivos saldos.</w:t>
      </w:r>
    </w:p>
    <w:p w:rsidR="00472EE9" w:rsidRDefault="00472EE9">
      <w:pPr>
        <w:pStyle w:val="PargrafodaLista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07 – Bens Móveis – Composição</w:t>
      </w:r>
    </w:p>
    <w:p w:rsidR="00472EE9" w:rsidRDefault="00F32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7385050" cy="1670050"/>
            <wp:effectExtent l="0" t="0" r="6350" b="635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850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E9" w:rsidRDefault="00F32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Fonte: SIAFI, 2018 e 2017.</w:t>
      </w:r>
    </w:p>
    <w:p w:rsidR="00472EE9" w:rsidRDefault="00F32C6C">
      <w:pPr>
        <w:pStyle w:val="PargrafodaLista"/>
        <w:tabs>
          <w:tab w:val="left" w:pos="3119"/>
        </w:tabs>
        <w:spacing w:line="276" w:lineRule="auto"/>
        <w:ind w:left="-12" w:firstLine="7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valores registrados em Bens Móveis no Balanço Patrimonial não refletem fidedignamente a realidade no IFAC. Tal fato ocorre em função de que no momento da migração dos dados do SIAFI para o sistema SIPAC, nos módulos de Almoxarifado e Patrimônio, constatou-se alguns equívocos nos dados transferidos, como por exemplo, erro de classificação contábil e outras irregularidades que impedem a informação correta para posterior emissão de relatórios e cálculos de depreciação. Os dados incorretos foram reclassificados estando em fase de consolidação e posterior envio a empresa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E-Sig</w:t>
      </w:r>
      <w:proofErr w:type="spellEnd"/>
      <w:r>
        <w:rPr>
          <w:rFonts w:ascii="Times New Roman" w:hAnsi="Times New Roman" w:cs="Times New Roman"/>
          <w:sz w:val="24"/>
          <w:szCs w:val="24"/>
        </w:rPr>
        <w:t>, responsável pelo SIPAC, para diligências necessárias.</w:t>
      </w:r>
    </w:p>
    <w:p w:rsidR="00472EE9" w:rsidRDefault="00F32C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Paralelamente aos ajustes de implantação do programa, foi publicada a Portaria n. 1.396, de 27</w:t>
      </w:r>
      <w:r w:rsidR="00826EBD">
        <w:rPr>
          <w:rFonts w:ascii="Times New Roman" w:hAnsi="Times New Roman" w:cs="Times New Roman"/>
          <w:sz w:val="24"/>
          <w:szCs w:val="24"/>
        </w:rPr>
        <w:t>/09/2018, para fins de elaboração</w:t>
      </w:r>
      <w:r>
        <w:rPr>
          <w:rFonts w:ascii="Times New Roman" w:hAnsi="Times New Roman" w:cs="Times New Roman"/>
          <w:sz w:val="24"/>
          <w:szCs w:val="24"/>
        </w:rPr>
        <w:t xml:space="preserve"> dos inventários patrimoniais de bens permanentes de todas as unidades do IFAC. Os trabalhos destas subcomissões e comissões nomeadas estão em fase de apreciação e aceitação pela Comissão Central, para posterior providências de ajustes, avaliação e cálculo da depreciação dos bens e, a consequente, adequação dos valores registrados no SIAFI.</w:t>
      </w: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Nota 7 - BENS IMÓVEIS</w:t>
      </w:r>
    </w:p>
    <w:p w:rsidR="00472EE9" w:rsidRDefault="00F32C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relação ao Bens Imóveis, segue no quadro, os principais itens que o compõem.</w:t>
      </w: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08 – Bens Imóveis – Composição</w:t>
      </w:r>
    </w:p>
    <w:p w:rsidR="00472EE9" w:rsidRDefault="00F32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7385050" cy="1060450"/>
            <wp:effectExtent l="0" t="0" r="6350" b="635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850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E9" w:rsidRDefault="00F32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Fonte: SIAFI, 2018 e 2017.</w:t>
      </w:r>
    </w:p>
    <w:p w:rsidR="00472EE9" w:rsidRDefault="00F32C6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Quanto aos Bens Imóveis, o IFAC apresentou em 31/12/2018 um valor elevado em Bens Imóveis em Andamento - R$16.993.749,74 (dezesseis milhões, novecentos e noventa e três mil, setecentos e quarenta e nove reais e setenta e quatro centavos). Este valor representa a expansão do IFAC, com obras em campi, como a construção da sede do campus Tarauacá e construção da unidade experimental agrícola do campus Cruzeiro do Sul. No entanto, este valor também não representa a realidade do IFAC, pois há um campus que está em fase de conclusão de obra e outros campi que também não estão registrados no SPIUNET, devido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falta de documentação do órgão doador, o qual detém a titularidade / propriedade dos mesmos. </w:t>
      </w:r>
    </w:p>
    <w:p w:rsidR="00472EE9" w:rsidRDefault="00F32C6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Setor de Patrimônio, em conjunto com a Diretoria de Obras e Infraestrutura estão realizando e acompanhando este processo de registro e baixa das obras concluídas.</w:t>
      </w:r>
    </w:p>
    <w:p w:rsidR="00472EE9" w:rsidRDefault="00472EE9">
      <w:pPr>
        <w:rPr>
          <w:rFonts w:ascii="Times New Roman" w:hAnsi="Times New Roman" w:cs="Times New Roman"/>
          <w:sz w:val="24"/>
          <w:szCs w:val="24"/>
        </w:rPr>
      </w:pPr>
    </w:p>
    <w:p w:rsidR="007E26BE" w:rsidRDefault="007E26BE">
      <w:pPr>
        <w:rPr>
          <w:rFonts w:ascii="Times New Roman" w:hAnsi="Times New Roman" w:cs="Times New Roman"/>
          <w:sz w:val="24"/>
          <w:szCs w:val="24"/>
        </w:rPr>
      </w:pPr>
    </w:p>
    <w:p w:rsidR="007E26BE" w:rsidRDefault="007E26BE">
      <w:pPr>
        <w:rPr>
          <w:rFonts w:ascii="Times New Roman" w:hAnsi="Times New Roman" w:cs="Times New Roman"/>
          <w:sz w:val="24"/>
          <w:szCs w:val="24"/>
        </w:rPr>
      </w:pPr>
    </w:p>
    <w:p w:rsidR="002100A1" w:rsidRDefault="002100A1">
      <w:pPr>
        <w:rPr>
          <w:rFonts w:ascii="Times New Roman" w:hAnsi="Times New Roman" w:cs="Times New Roman"/>
          <w:sz w:val="24"/>
          <w:szCs w:val="24"/>
        </w:rPr>
      </w:pP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Nota 8 - INTANGÍVEL</w:t>
      </w: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Softwares</w:t>
      </w:r>
    </w:p>
    <w:p w:rsidR="00472EE9" w:rsidRDefault="00F32C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tabela a seguir, é apresentada a composição do subgrupo Intangível, para os períodos 31/12/2018 e 31/12/2017.</w:t>
      </w: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09 – Intangível – Composição</w:t>
      </w:r>
    </w:p>
    <w:tbl>
      <w:tblPr>
        <w:tblW w:w="116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2720"/>
        <w:gridCol w:w="1640"/>
        <w:gridCol w:w="2240"/>
      </w:tblGrid>
      <w:tr w:rsidR="00472EE9">
        <w:trPr>
          <w:trHeight w:val="276"/>
          <w:jc w:val="center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</w:tcPr>
          <w:p w:rsidR="00472EE9" w:rsidRDefault="00F32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  <w:t>INTANGÍVEL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</w:tcPr>
          <w:p w:rsidR="00472EE9" w:rsidRDefault="00F3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lang w:eastAsia="pt-BR"/>
              </w:rPr>
              <w:t>31/12/2018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</w:tcPr>
          <w:p w:rsidR="00472EE9" w:rsidRDefault="00F3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lang w:eastAsia="pt-BR"/>
              </w:rPr>
              <w:t>31/12/2017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</w:tcPr>
          <w:p w:rsidR="00472EE9" w:rsidRDefault="00F3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lang w:eastAsia="pt-BR"/>
              </w:rPr>
              <w:t>AH%</w:t>
            </w:r>
          </w:p>
        </w:tc>
      </w:tr>
      <w:tr w:rsidR="00472EE9">
        <w:trPr>
          <w:trHeight w:val="276"/>
          <w:jc w:val="center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472EE9" w:rsidRDefault="00F3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SOFTWARES        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472EE9" w:rsidRDefault="00F3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280.691,97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472EE9" w:rsidRDefault="00F3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165.945,30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472EE9" w:rsidRDefault="00F3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pt-BR"/>
              </w:rPr>
              <w:t>0,00%</w:t>
            </w:r>
          </w:p>
        </w:tc>
      </w:tr>
      <w:tr w:rsidR="00472EE9">
        <w:trPr>
          <w:trHeight w:val="276"/>
          <w:jc w:val="center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72EE9" w:rsidRDefault="00F32C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MARCAS, DIREITOS E PATENTES INDUSTRIAIS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EE9" w:rsidRDefault="00F3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908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EE9" w:rsidRDefault="00F3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EE9" w:rsidRDefault="00F3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pt-BR"/>
              </w:rPr>
              <w:t>100,00%</w:t>
            </w:r>
          </w:p>
        </w:tc>
      </w:tr>
      <w:tr w:rsidR="00472EE9">
        <w:trPr>
          <w:trHeight w:val="276"/>
          <w:jc w:val="center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</w:tcPr>
          <w:p w:rsidR="00472EE9" w:rsidRDefault="00F32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  <w:t>TOTAL INTANGÍVEL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</w:tcPr>
          <w:p w:rsidR="00472EE9" w:rsidRDefault="00F3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  <w:t>281.599,97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</w:tcPr>
          <w:p w:rsidR="00472EE9" w:rsidRDefault="00F3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  <w:t>165.945,30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</w:tcPr>
          <w:p w:rsidR="00472EE9" w:rsidRDefault="00F3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lang w:eastAsia="pt-BR"/>
              </w:rPr>
              <w:t>69,69%</w:t>
            </w:r>
          </w:p>
        </w:tc>
      </w:tr>
    </w:tbl>
    <w:p w:rsidR="00472EE9" w:rsidRDefault="00F32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Fonte: SIAFI, 2018 e 2017.</w:t>
      </w:r>
    </w:p>
    <w:p w:rsidR="00472EE9" w:rsidRDefault="00F32C6C">
      <w:pPr>
        <w:pStyle w:val="PargrafodaLista"/>
        <w:tabs>
          <w:tab w:val="left" w:pos="3119"/>
        </w:tabs>
        <w:spacing w:line="276" w:lineRule="auto"/>
        <w:ind w:left="-12" w:firstLine="7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Intangível ainda não reflete a realidade fidedigna, pois com a migração de dados para o sistema SIPAC, apresentou-se classificações contábeis divergentes do indicado. Tal situação também será resolvida com o envio do arquivo à empresa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E-Sig</w:t>
      </w:r>
      <w:proofErr w:type="spellEnd"/>
      <w:r>
        <w:rPr>
          <w:rFonts w:ascii="Times New Roman" w:hAnsi="Times New Roman" w:cs="Times New Roman"/>
          <w:sz w:val="24"/>
          <w:szCs w:val="24"/>
        </w:rPr>
        <w:t>, responsável pelo SIPAC. Após as diligências necessárias serão realizados os ajustes, avaliações e, posterior, cálculo da amortização.</w:t>
      </w:r>
    </w:p>
    <w:p w:rsidR="00472EE9" w:rsidRDefault="0047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2EE9" w:rsidRDefault="00F32C6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Marcas, Direitos e Patentes Industriais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2EE9" w:rsidRDefault="00F32C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subgrupo Marcas, Direitos e Patentes Industriais apresentou o saldo de R$ 500,00 (quinhentos reais), em 31/12/2018, devido ao registro de restauração de patente de invenção com a produção de farinha de mandioca pela rota de fermentação alcoólica.  </w:t>
      </w:r>
    </w:p>
    <w:p w:rsidR="00472EE9" w:rsidRDefault="00472EE9">
      <w:pPr>
        <w:rPr>
          <w:rFonts w:ascii="Times New Roman" w:hAnsi="Times New Roman" w:cs="Times New Roman"/>
          <w:b/>
          <w:sz w:val="24"/>
          <w:szCs w:val="24"/>
        </w:rPr>
      </w:pP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Nota 9 - FORNECEDORES E CONTAS A PAGAR</w:t>
      </w:r>
    </w:p>
    <w:p w:rsidR="00472EE9" w:rsidRDefault="00F32C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31/12/2018, o Órgão 26425 – INSTITUTO FEDERAL DE EDUCAÇÃO, CIÊNCIA E TECNOLOGIA DO ACRE apresentou um saldo em aberto de R$ 1.142.338,13 (um milhão, cento e quarenta e dois mil, trezentos e trinta e oito reais e treze centavos) relacionados com fornecedores e contas pagar, sendo obrigações a curto prazo.</w:t>
      </w:r>
    </w:p>
    <w:p w:rsidR="007E26BE" w:rsidRDefault="007E26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EE9" w:rsidRDefault="00F32C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seguir, apresenta-se a tabela, segregando-se essas obrigações, entre fornecedores nacionais circulante:</w:t>
      </w:r>
    </w:p>
    <w:p w:rsidR="00472EE9" w:rsidRDefault="00472E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10 – Fornecedores e Contas a Pagar – Por Fornecedor.</w:t>
      </w:r>
    </w:p>
    <w:p w:rsidR="00EC58FD" w:rsidRDefault="00EC58FD">
      <w:pPr>
        <w:rPr>
          <w:rFonts w:ascii="Times New Roman" w:hAnsi="Times New Roman" w:cs="Times New Roman"/>
          <w:b/>
          <w:sz w:val="24"/>
          <w:szCs w:val="24"/>
        </w:rPr>
      </w:pPr>
      <w:r w:rsidRPr="00EC58FD">
        <w:rPr>
          <w:noProof/>
          <w:lang w:eastAsia="pt-BR"/>
        </w:rPr>
        <w:drawing>
          <wp:inline distT="0" distB="0" distL="0" distR="0">
            <wp:extent cx="8865870" cy="1800225"/>
            <wp:effectExtent l="0" t="0" r="0" b="9525"/>
            <wp:docPr id="673" name="Imagem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9450" cy="180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E9" w:rsidRDefault="00F32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Fonte: SIAFI, 2018.</w:t>
      </w:r>
    </w:p>
    <w:p w:rsidR="00FF7A1F" w:rsidRDefault="00FF7A1F" w:rsidP="007E26BE">
      <w:pPr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4BE4">
        <w:rPr>
          <w:rFonts w:ascii="Times New Roman" w:hAnsi="Times New Roman" w:cs="Times New Roman"/>
          <w:sz w:val="24"/>
          <w:szCs w:val="24"/>
          <w:highlight w:val="yellow"/>
        </w:rPr>
        <w:t>Em relação aos fornecedores A ao F, sendo os mais relevantes da conta Fornecedores a Pagar, representam 61,8% do total a ser pago, o percentual restante de 38,20% representa a soma dos outros fornecedores, que totaliza o saldo da conta de Fornecedores a pagar no valor de R$ 1.142.338,13 (um milhão, cento e quarenta e dois mil, trezentos e trinta e oito reais e treze centavos)</w:t>
      </w:r>
      <w:r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FF7A1F" w:rsidRPr="009B24D5" w:rsidRDefault="00FF7A1F" w:rsidP="00FF7A1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A4BE4">
        <w:rPr>
          <w:rFonts w:ascii="Times New Roman" w:hAnsi="Times New Roman" w:cs="Times New Roman"/>
          <w:sz w:val="24"/>
          <w:szCs w:val="24"/>
          <w:highlight w:val="yellow"/>
        </w:rPr>
        <w:t>A seguir é apresentado o resumo das principais transações:</w:t>
      </w:r>
    </w:p>
    <w:p w:rsidR="00472EE9" w:rsidRDefault="00F32C6C" w:rsidP="00FF7A1F">
      <w:pPr>
        <w:pStyle w:val="Pargrafoda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Fornecedor A: Despesa referente a mobiliário em geral – Pregão n. 24/2012; pagamento suspenso por decisão judicial, conforme páginas 7382 a 7384 do processo: 23244.000775/2012-60;</w:t>
      </w:r>
    </w:p>
    <w:p w:rsidR="00472EE9" w:rsidRDefault="00F32C6C">
      <w:pPr>
        <w:pStyle w:val="Pargrafoda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Fornecedor B: Serviço de vigilância patrimonial armada, diurna e noturna, conforme Primeiro Termo Aditivo ao Contrato n. 18/2017. Compromisso pago parcialmente em janeiro/2019;</w:t>
      </w:r>
    </w:p>
    <w:p w:rsidR="00472EE9" w:rsidRDefault="00F32C6C">
      <w:pPr>
        <w:pStyle w:val="Pargrafoda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Fornecedor C: Serviço de limpeza, conservação e higienização, conforme Primeiro Termo Aditivo ao Contrato n. 19/2017. Compromisso pago quase totalmente no início de janeiro/2019;</w:t>
      </w:r>
    </w:p>
    <w:p w:rsidR="00472EE9" w:rsidRDefault="00F32C6C">
      <w:pPr>
        <w:pStyle w:val="Pargrafoda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Fornecedor D: Serviço de limpeza, conservação e higienização, conforme Segundo Termo Aditivo ao Contrato n. 23/2017. Compromisso pago totalmente no início de janeiro/2019;</w:t>
      </w:r>
    </w:p>
    <w:p w:rsidR="00472EE9" w:rsidRDefault="00F32C6C">
      <w:pPr>
        <w:pStyle w:val="Pargrafoda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Fornecedor E: Aquisição de papel sulfite, conforme Pregão eletrônico SRP n. 27/2018. Compromisso pago totalmente no início de janeiro/2019;</w:t>
      </w:r>
    </w:p>
    <w:p w:rsidR="00472EE9" w:rsidRDefault="00F32C6C">
      <w:pPr>
        <w:pStyle w:val="Pargrafoda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Fornecedor F: Aquisição de equipamentos permanentes (condicionadores de ar), conforme Pregão eletrônico SRP n. 22/2017</w:t>
      </w:r>
      <w:r>
        <w:rPr>
          <w:rStyle w:val="unit"/>
          <w:rFonts w:ascii="Times New Roman" w:hAnsi="Times New Roman" w:cs="Times New Roman"/>
          <w:sz w:val="24"/>
          <w:szCs w:val="24"/>
        </w:rPr>
        <w:t xml:space="preserve">.  </w:t>
      </w:r>
    </w:p>
    <w:p w:rsidR="00472EE9" w:rsidRDefault="00472EE9">
      <w:pPr>
        <w:rPr>
          <w:rFonts w:ascii="Times New Roman" w:hAnsi="Times New Roman" w:cs="Times New Roman"/>
          <w:sz w:val="24"/>
          <w:szCs w:val="24"/>
        </w:rPr>
      </w:pPr>
    </w:p>
    <w:p w:rsidR="00472EE9" w:rsidRDefault="00F32C6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Grande parte dos saldos dos fornecedores citados possuem saldo diferente em Janeiro/2019, devido as notas fiscais serem liquidadas no decorrer do mês, e ocorrer o pagamento no início de cada mês, conforme liberação feita pelo MEC.</w:t>
      </w:r>
    </w:p>
    <w:p w:rsidR="00472EE9" w:rsidRDefault="00472EE9">
      <w:pPr>
        <w:rPr>
          <w:rFonts w:ascii="Times New Roman" w:hAnsi="Times New Roman" w:cs="Times New Roman"/>
          <w:sz w:val="24"/>
          <w:szCs w:val="24"/>
        </w:rPr>
      </w:pP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DEMONSTRAÇÃO DAS VARIAÇÕES PATRIMONIAIS</w:t>
      </w:r>
    </w:p>
    <w:p w:rsidR="00472EE9" w:rsidRDefault="00472EE9">
      <w:pPr>
        <w:rPr>
          <w:rFonts w:ascii="Times New Roman" w:hAnsi="Times New Roman" w:cs="Times New Roman"/>
          <w:b/>
          <w:sz w:val="24"/>
          <w:szCs w:val="24"/>
        </w:rPr>
      </w:pP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Nota 10 - VARIAÇÕES PATRIMONIAIS AUMENTATIVAS</w:t>
      </w:r>
    </w:p>
    <w:p w:rsidR="00472EE9" w:rsidRDefault="00F32C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 variações patrimoniais aumentativas, houve um acréscimo horizontal de 8,14% nos últimos trimestres dos anos de 2017 e 2018.</w:t>
      </w:r>
    </w:p>
    <w:p w:rsidR="00472EE9" w:rsidRDefault="00472E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Exploração e Vendas de Bens, Serviços e Direitos</w:t>
      </w:r>
    </w:p>
    <w:p w:rsidR="00472EE9" w:rsidRDefault="00F32C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grupo Exploração e Venda de Bens, Serviços e Direitos houve um acréscimo significativo de 91,91%, pois no decorrer do ano de 2018, ocorreram arrecadações referentes a inscrições de </w:t>
      </w:r>
      <w:proofErr w:type="gramStart"/>
      <w:r>
        <w:rPr>
          <w:rFonts w:ascii="Times New Roman" w:hAnsi="Times New Roman" w:cs="Times New Roman"/>
          <w:sz w:val="24"/>
          <w:szCs w:val="24"/>
        </w:rPr>
        <w:t>pós graduação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aluguéis recebidos, totalizando R$ 15.095,52 (quinze mil, noventa e cinco reais e cinquenta e dois centavos).</w:t>
      </w:r>
    </w:p>
    <w:p w:rsidR="00472EE9" w:rsidRDefault="00472EE9">
      <w:pPr>
        <w:rPr>
          <w:rFonts w:ascii="Times New Roman" w:hAnsi="Times New Roman" w:cs="Times New Roman"/>
          <w:b/>
          <w:sz w:val="24"/>
          <w:szCs w:val="24"/>
        </w:rPr>
      </w:pP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Transferências e Delegações Recebidas</w:t>
      </w:r>
      <w:proofErr w:type="gramEnd"/>
    </w:p>
    <w:p w:rsidR="00472EE9" w:rsidRDefault="00F32C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grupo obteve na análise vertical um percentual muito significativo de 98,86%, sua representatividade deve-se ao volume de repasses recebidos para execução de despesas, sendo o maior valor entre as Variações Patrimoniais Aumentativas.</w:t>
      </w:r>
    </w:p>
    <w:p w:rsidR="00472EE9" w:rsidRDefault="00472EE9">
      <w:pPr>
        <w:rPr>
          <w:rFonts w:ascii="Times New Roman" w:hAnsi="Times New Roman" w:cs="Times New Roman"/>
          <w:b/>
          <w:sz w:val="24"/>
          <w:szCs w:val="24"/>
        </w:rPr>
      </w:pPr>
    </w:p>
    <w:p w:rsidR="00472EE9" w:rsidRDefault="00472EE9">
      <w:pPr>
        <w:rPr>
          <w:rFonts w:ascii="Times New Roman" w:hAnsi="Times New Roman" w:cs="Times New Roman"/>
          <w:b/>
          <w:sz w:val="24"/>
          <w:szCs w:val="24"/>
        </w:rPr>
      </w:pPr>
    </w:p>
    <w:p w:rsidR="00472EE9" w:rsidRDefault="00472EE9">
      <w:pPr>
        <w:rPr>
          <w:rFonts w:ascii="Times New Roman" w:hAnsi="Times New Roman" w:cs="Times New Roman"/>
          <w:b/>
          <w:sz w:val="24"/>
          <w:szCs w:val="24"/>
        </w:rPr>
      </w:pPr>
    </w:p>
    <w:p w:rsidR="00472EE9" w:rsidRDefault="00F32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Valorização e Ganhos c/ Ativos e Desincorporação de Passivos</w:t>
      </w:r>
    </w:p>
    <w:p w:rsidR="00472EE9" w:rsidRDefault="00F32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Este grupo apresentou uma variação negativa na análise horizontal de 100%, pois em 2017 houve ajustes de compromissos não devidos, ocasionando uma desincorporação de passivos.</w:t>
      </w:r>
    </w:p>
    <w:p w:rsidR="00472EE9" w:rsidRDefault="00472EE9">
      <w:pPr>
        <w:rPr>
          <w:rFonts w:ascii="Times New Roman" w:hAnsi="Times New Roman" w:cs="Times New Roman"/>
          <w:sz w:val="24"/>
          <w:szCs w:val="24"/>
        </w:rPr>
      </w:pP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Outras Variações Patrimoniais Aumentativas</w:t>
      </w:r>
    </w:p>
    <w:p w:rsidR="00472EE9" w:rsidRDefault="00F32C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grupo Outras Variações Patrimoniais Aumentativas, comparando os dois últimos trimestres, houve uma elevação considerável de 802,92%, devido ao recolhimento de Multas administrativas. Há dois valores significativos referente a sanção administrativa por inexecução do Contrato n. 32/2013, tendo sido recolhido R$ 520.388,64 (quinhentos e vinte mil, trezentos e oitenta e oito reais e sessenta e quatro centavos) de multa, com devolução ao STN. Quanto ao valor de R$ 460.477,84 (quatrocentos e sessenta mil, quatrocentos e setenta e sete reais e oitenta e quatro centavos), foi emitida uma GRU para empresa efetuar o pagamento e registrado no sistema SIAFI o reconhecimento do crédito decorrente da multa.</w:t>
      </w:r>
    </w:p>
    <w:p w:rsidR="00472EE9" w:rsidRDefault="00472EE9">
      <w:pPr>
        <w:rPr>
          <w:rFonts w:ascii="Times New Roman" w:hAnsi="Times New Roman" w:cs="Times New Roman"/>
          <w:b/>
          <w:sz w:val="24"/>
          <w:szCs w:val="24"/>
        </w:rPr>
      </w:pPr>
    </w:p>
    <w:p w:rsidR="002100A1" w:rsidRDefault="002100A1">
      <w:pPr>
        <w:rPr>
          <w:rFonts w:ascii="Times New Roman" w:hAnsi="Times New Roman" w:cs="Times New Roman"/>
          <w:b/>
          <w:sz w:val="24"/>
          <w:szCs w:val="24"/>
        </w:rPr>
      </w:pPr>
    </w:p>
    <w:p w:rsidR="002100A1" w:rsidRDefault="002100A1">
      <w:pPr>
        <w:rPr>
          <w:rFonts w:ascii="Times New Roman" w:hAnsi="Times New Roman" w:cs="Times New Roman"/>
          <w:b/>
          <w:sz w:val="24"/>
          <w:szCs w:val="24"/>
        </w:rPr>
      </w:pPr>
    </w:p>
    <w:p w:rsidR="002100A1" w:rsidRDefault="002100A1">
      <w:pPr>
        <w:rPr>
          <w:rFonts w:ascii="Times New Roman" w:hAnsi="Times New Roman" w:cs="Times New Roman"/>
          <w:b/>
          <w:sz w:val="24"/>
          <w:szCs w:val="24"/>
        </w:rPr>
      </w:pPr>
    </w:p>
    <w:p w:rsidR="002100A1" w:rsidRDefault="002100A1">
      <w:pPr>
        <w:rPr>
          <w:rFonts w:ascii="Times New Roman" w:hAnsi="Times New Roman" w:cs="Times New Roman"/>
          <w:b/>
          <w:sz w:val="24"/>
          <w:szCs w:val="24"/>
        </w:rPr>
      </w:pPr>
    </w:p>
    <w:p w:rsidR="002100A1" w:rsidRDefault="002100A1">
      <w:pPr>
        <w:rPr>
          <w:rFonts w:ascii="Times New Roman" w:hAnsi="Times New Roman" w:cs="Times New Roman"/>
          <w:b/>
          <w:sz w:val="24"/>
          <w:szCs w:val="24"/>
        </w:rPr>
      </w:pP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11 – Composição das Variações Patrimoniais Aumentativas</w:t>
      </w: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8891270" cy="1395730"/>
            <wp:effectExtent l="0" t="0" r="508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m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E9" w:rsidRDefault="00F32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Fonte: </w:t>
      </w:r>
      <w:proofErr w:type="spellStart"/>
      <w:r>
        <w:rPr>
          <w:rFonts w:ascii="Times New Roman" w:hAnsi="Times New Roman" w:cs="Times New Roman"/>
          <w:sz w:val="24"/>
          <w:szCs w:val="24"/>
        </w:rPr>
        <w:t>Siafi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Web, 2018.</w:t>
      </w:r>
    </w:p>
    <w:p w:rsidR="00472EE9" w:rsidRDefault="00472EE9">
      <w:pPr>
        <w:pStyle w:val="PargrafodaLista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2EE9" w:rsidRDefault="00472EE9">
      <w:pPr>
        <w:pStyle w:val="PargrafodaLista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Nota 11- VARIAÇÕES PATRIMONIAIS DIMINUTIVAS</w:t>
      </w:r>
    </w:p>
    <w:p w:rsidR="00472EE9" w:rsidRDefault="00F32C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todo, nas variações patrimoniais diminutivas, houve um acréscimo de 8,69% entre os últimos trimestres dos anos de 2017 e 2018.</w:t>
      </w:r>
    </w:p>
    <w:p w:rsidR="00472EE9" w:rsidRDefault="00472E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Pessoal e Encargos e Benefícios Previdenciários e Assistenciais</w:t>
      </w:r>
    </w:p>
    <w:p w:rsidR="00472EE9" w:rsidRDefault="00F32C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Dentre as variações patrimoniais diminutivas verifica-se que o grupo Pessoal e encargos é o mais expressivo, representando 76,96% na análise vertical do total da VPD. Individualmente no subgrupo Pessoal e encargos houve acréscimos devido ao aumento no número de servidores no Instituto que, consequentemente, aumentou: remuneração, encargos, benefícios, dentre outras contas relacionadas a Folha de Pagamento. Com relação ao subgrupo Aposentadorias e Reformas, ocorreu um aumento de 109,86%, comparando os dois períodos, devido a regularização da situação DFL031 dos documentos hábeis referente as Folhas de pagamento dos Aposentados, no período de </w:t>
      </w:r>
      <w:proofErr w:type="gramStart"/>
      <w:r>
        <w:rPr>
          <w:rFonts w:ascii="Times New Roman" w:hAnsi="Times New Roman" w:cs="Times New Roman"/>
          <w:sz w:val="24"/>
          <w:szCs w:val="24"/>
        </w:rPr>
        <w:t>Janeiro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 Agosto de 2018.</w:t>
      </w:r>
    </w:p>
    <w:p w:rsidR="00472EE9" w:rsidRDefault="00472EE9">
      <w:pPr>
        <w:rPr>
          <w:rFonts w:ascii="Times New Roman" w:hAnsi="Times New Roman" w:cs="Times New Roman"/>
          <w:sz w:val="24"/>
          <w:szCs w:val="24"/>
        </w:rPr>
      </w:pPr>
    </w:p>
    <w:p w:rsidR="002100A1" w:rsidRDefault="002100A1">
      <w:pPr>
        <w:rPr>
          <w:rFonts w:ascii="Times New Roman" w:hAnsi="Times New Roman" w:cs="Times New Roman"/>
          <w:sz w:val="24"/>
          <w:szCs w:val="24"/>
        </w:rPr>
      </w:pP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Uso de Bens, Serviços e Consumo de Capital Fixo</w:t>
      </w:r>
    </w:p>
    <w:p w:rsidR="00472EE9" w:rsidRDefault="00F32C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grupo Uso de bens, serviços e consumo de capital fixo teve um decréscimo de 7,32%, com redução significativa na conta Seguros em geral cujos valores passaram de R$ 514.291,98 (quinhentos e catorze mil, duzentos e noventa e um reais e noventa e oito centavos) em 2017 para R$ 43.745,28 (quarenta e três mil, setecentos e quarenta e cinco reais e vinte e oito centavos) em 2018. Esta redução deve-se principalmente à renovação de garantia dos desktops que ocorreu em 2017, tendo como validade 2018. </w:t>
      </w:r>
    </w:p>
    <w:p w:rsidR="00472EE9" w:rsidRDefault="00F32C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Além dessa redução, as despesas com Serviços de Terceiros Pessoa Jurídica, tais como: Serviços de Apoio Administrativo, Serviços de Água e Esgoto, Energia Elétrica, Locação/Aluguéis e Seguros em Geral também diminuíram. Essa redução e consequente melhoria na execução dos gastos com despesas de custeio, deve-se ao comprometimento dos gestores e servidores do IFAC na execução dos planos e medidas previstas na Portaria n. 550, de 05 de maio de 2017, do IFAC, que instituiu o Plano de Contingenciamento de Gastos Economiza IFAC 2017. </w:t>
      </w:r>
    </w:p>
    <w:p w:rsidR="00472EE9" w:rsidRDefault="00472EE9">
      <w:pPr>
        <w:rPr>
          <w:rFonts w:ascii="Times New Roman" w:hAnsi="Times New Roman" w:cs="Times New Roman"/>
          <w:sz w:val="24"/>
          <w:szCs w:val="24"/>
        </w:rPr>
      </w:pP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Transferências e Delegações Concedidas</w:t>
      </w:r>
      <w:proofErr w:type="gramEnd"/>
    </w:p>
    <w:p w:rsidR="00472EE9" w:rsidRDefault="00F32C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grupo Transferências e delegações concedidas apresentou um decréscimo de 21,83%. Essa redução deve-se a uma transferência de recurso financeiro 2017PF000016, para a UG/GESTÃO: 254420 / 25201 - Fundação Oswaldo Cruz, referente ao Termo de Cooperação n. 004/2012-IFAC/FIOCRUZ, que ocorreu em 2017 e não aconteceu em 2018.</w:t>
      </w:r>
    </w:p>
    <w:p w:rsidR="00472EE9" w:rsidRDefault="00472EE9">
      <w:pPr>
        <w:rPr>
          <w:rFonts w:ascii="Times New Roman" w:hAnsi="Times New Roman" w:cs="Times New Roman"/>
          <w:sz w:val="24"/>
          <w:szCs w:val="24"/>
        </w:rPr>
      </w:pP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Tributárias</w:t>
      </w:r>
    </w:p>
    <w:p w:rsidR="00472EE9" w:rsidRDefault="00F32C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grupo Tributárias teve um aumento na análise horizontal de 55,95%, devido o subgrupo Contribuições ter tido em 2018 um saldo relevante de R$45.901,38 (quarenta e cinco mil, novecentos e um reais e trinta e oito centavos), pois após a orientação recebida pela Setorial conforme mensagem 2017/1235631, a contribuição para custeio de iluminação pública que consta na fatura de energia elétrica, está sendo empenhada e apropriada na natureza e situações corretas, não estando mais agregada nas despesas com serviços.</w:t>
      </w:r>
    </w:p>
    <w:p w:rsidR="00472EE9" w:rsidRDefault="00472EE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12 – Variações Patrimoniais Diminutivas</w:t>
      </w: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8891270" cy="1741170"/>
            <wp:effectExtent l="0" t="0" r="508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m 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E9" w:rsidRDefault="00F32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Fonte: </w:t>
      </w:r>
      <w:proofErr w:type="spellStart"/>
      <w:r>
        <w:rPr>
          <w:rFonts w:ascii="Times New Roman" w:hAnsi="Times New Roman" w:cs="Times New Roman"/>
          <w:sz w:val="24"/>
          <w:szCs w:val="24"/>
        </w:rPr>
        <w:t>Siafi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Web, 2018.</w:t>
      </w:r>
    </w:p>
    <w:p w:rsidR="00472EE9" w:rsidRDefault="00F32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Nota 12 - RESULTADO PATRIMONIAL NO PERÍODO</w:t>
      </w: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13 – Resultado Patrimonial no Período</w:t>
      </w:r>
    </w:p>
    <w:p w:rsidR="00472EE9" w:rsidRDefault="00F32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6445250" cy="711200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m 3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52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E9" w:rsidRDefault="00F32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Fonte: </w:t>
      </w:r>
      <w:proofErr w:type="spellStart"/>
      <w:r>
        <w:rPr>
          <w:rFonts w:ascii="Times New Roman" w:hAnsi="Times New Roman" w:cs="Times New Roman"/>
          <w:sz w:val="24"/>
          <w:szCs w:val="24"/>
        </w:rPr>
        <w:t>Siafi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Web, 2018.</w:t>
      </w:r>
    </w:p>
    <w:p w:rsidR="00472EE9" w:rsidRDefault="00472EE9">
      <w:pPr>
        <w:pStyle w:val="PargrafodaList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2EE9" w:rsidRDefault="00F32C6C">
      <w:pPr>
        <w:pStyle w:val="PargrafodaLista"/>
        <w:spacing w:line="276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DVP evidencia a contrapartida (aumentativa ou diminutiva) dos registros realizados no Balanço Patrimonial.</w:t>
      </w:r>
    </w:p>
    <w:p w:rsidR="00472EE9" w:rsidRDefault="00F32C6C">
      <w:pPr>
        <w:pStyle w:val="PargrafodaLista"/>
        <w:spacing w:line="276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período, o IFAC apresentou um resultado patrimonial positivo de R$ 8.276.660,25 (oito milhões, duzentos e setenta e seis mil, seiscentos e sessenta reais e vinte e cinco centavos), tendo um aumento de 1,38% em comparação ao ano de 2017. As variações patrimoniais foram positivas (incorporações de ativos e desincorporações de passivos) foram superiores às variações diminutivas (desincorporações de ativos e incorporações de passivos).</w:t>
      </w:r>
    </w:p>
    <w:p w:rsidR="00472EE9" w:rsidRDefault="00472EE9">
      <w:pPr>
        <w:rPr>
          <w:rFonts w:ascii="Times New Roman" w:hAnsi="Times New Roman" w:cs="Times New Roman"/>
          <w:sz w:val="24"/>
          <w:szCs w:val="24"/>
        </w:rPr>
      </w:pP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DEMONSTRAÇÃO DOS FLUXOS DE CAIXA</w:t>
      </w: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Nota 13 - INGRESSOS</w:t>
      </w:r>
    </w:p>
    <w:p w:rsidR="00472EE9" w:rsidRDefault="00F32C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geração líquida de caixa foi positiva de R$ 7.394.230,87 (sete milhões, trezentos e noventa e quatro mil, duzentos e trinta reais e oitenta e sete centavos), apresentando um aumento em relação ao mesmo período de 2017, de 987,48%.</w:t>
      </w:r>
    </w:p>
    <w:p w:rsidR="00472EE9" w:rsidRDefault="00F32C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tabela abaixo demonstra a composição da geração líquida de Caixa e Equivalentes de Caixa no quarto trimestre dos dois anos:</w:t>
      </w:r>
    </w:p>
    <w:p w:rsidR="00472EE9" w:rsidRDefault="00472EE9">
      <w:pPr>
        <w:rPr>
          <w:rFonts w:ascii="Times New Roman" w:hAnsi="Times New Roman" w:cs="Times New Roman"/>
          <w:b/>
          <w:sz w:val="24"/>
          <w:szCs w:val="24"/>
        </w:rPr>
      </w:pPr>
    </w:p>
    <w:p w:rsidR="00472EE9" w:rsidRDefault="00472EE9">
      <w:pPr>
        <w:rPr>
          <w:rFonts w:ascii="Times New Roman" w:hAnsi="Times New Roman" w:cs="Times New Roman"/>
          <w:b/>
          <w:sz w:val="24"/>
          <w:szCs w:val="24"/>
        </w:rPr>
      </w:pP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14 – Geração Líquida de Caixa e Equivalentes de Caixa – Composição</w:t>
      </w:r>
    </w:p>
    <w:p w:rsidR="00472EE9" w:rsidRDefault="00F32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6756400" cy="711200"/>
            <wp:effectExtent l="0" t="0" r="635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m 3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E9" w:rsidRDefault="00F32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Fonte: SIAFI WEB, DFC 2018.</w:t>
      </w:r>
    </w:p>
    <w:p w:rsidR="00472EE9" w:rsidRDefault="00472EE9">
      <w:pPr>
        <w:rPr>
          <w:rFonts w:ascii="Times New Roman" w:hAnsi="Times New Roman" w:cs="Times New Roman"/>
          <w:b/>
          <w:sz w:val="24"/>
          <w:szCs w:val="24"/>
        </w:rPr>
      </w:pPr>
    </w:p>
    <w:p w:rsidR="00472EE9" w:rsidRDefault="00F32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Nota 14 - ATIVIDADES OPERACIONAIS</w:t>
      </w:r>
    </w:p>
    <w:p w:rsidR="00472EE9" w:rsidRDefault="00F32C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Adiante, são apresentadas as atividades que contribuíram para o aumento da formação de caixa. Verifica-se que as atividades Operacionais foram as que mais contribuíram para geração líquida de caixa superavitária, representando um aumento na análise horizontal de 90,81%, em relação ao ano de 2017.</w:t>
      </w:r>
    </w:p>
    <w:p w:rsidR="00472EE9" w:rsidRDefault="00472EE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72EE9" w:rsidRDefault="00F32C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Tabela 15 – </w:t>
      </w:r>
      <w:r>
        <w:rPr>
          <w:rFonts w:ascii="Times New Roman" w:hAnsi="Times New Roman" w:cs="Times New Roman"/>
          <w:b/>
          <w:bCs/>
          <w:sz w:val="24"/>
          <w:szCs w:val="24"/>
        </w:rPr>
        <w:t>Geração líquida de caixa e equivalentes de caixa – Atividades</w:t>
      </w:r>
    </w:p>
    <w:p w:rsidR="00472EE9" w:rsidRDefault="00F32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6756400" cy="882650"/>
            <wp:effectExtent l="0" t="0" r="6350" b="0"/>
            <wp:docPr id="672" name="Imagem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Imagem 67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E9" w:rsidRDefault="00F32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Fonte: SIAFI WEB, DFC 2018.</w:t>
      </w:r>
    </w:p>
    <w:p w:rsidR="00472EE9" w:rsidRDefault="00F32C6C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As atividades operacionais compreendem as entradas e saídas de caixa, isto é, os ingressos de recursos decorrentes da arrecadação de receitas orçamentárias e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extraorçamentárias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os desembolsos efetuados tanto para o pagamento de despesas orçamentárias quanto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extraorçamentárias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órgão.</w:t>
      </w:r>
    </w:p>
    <w:sectPr w:rsidR="00472EE9" w:rsidSect="007E26BE">
      <w:pgSz w:w="16838" w:h="11906" w:orient="landscape"/>
      <w:pgMar w:top="1276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iraSansCondensed-Regular">
    <w:altName w:val="Times New Roman"/>
    <w:charset w:val="00"/>
    <w:family w:val="roman"/>
    <w:pitch w:val="default"/>
  </w:font>
  <w:font w:name="FiraSansCondensed-Medium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CA6"/>
    <w:multiLevelType w:val="multilevel"/>
    <w:tmpl w:val="013E4CA6"/>
    <w:lvl w:ilvl="0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A1"/>
    <w:rsid w:val="000424B4"/>
    <w:rsid w:val="0005639D"/>
    <w:rsid w:val="0005655C"/>
    <w:rsid w:val="000617EC"/>
    <w:rsid w:val="00110003"/>
    <w:rsid w:val="001D3B0E"/>
    <w:rsid w:val="001F4E84"/>
    <w:rsid w:val="002100A1"/>
    <w:rsid w:val="00236059"/>
    <w:rsid w:val="002621C4"/>
    <w:rsid w:val="00277E44"/>
    <w:rsid w:val="002C2C9A"/>
    <w:rsid w:val="00304056"/>
    <w:rsid w:val="00331BDC"/>
    <w:rsid w:val="00350DE4"/>
    <w:rsid w:val="003705D7"/>
    <w:rsid w:val="00370EAC"/>
    <w:rsid w:val="003D7270"/>
    <w:rsid w:val="0041303A"/>
    <w:rsid w:val="00430CC7"/>
    <w:rsid w:val="00440E53"/>
    <w:rsid w:val="00472EE9"/>
    <w:rsid w:val="0048262D"/>
    <w:rsid w:val="004851A3"/>
    <w:rsid w:val="004976A1"/>
    <w:rsid w:val="004B07AE"/>
    <w:rsid w:val="004C7705"/>
    <w:rsid w:val="0050013C"/>
    <w:rsid w:val="00543408"/>
    <w:rsid w:val="00551FC8"/>
    <w:rsid w:val="005D6670"/>
    <w:rsid w:val="005D6D05"/>
    <w:rsid w:val="006152DF"/>
    <w:rsid w:val="006701D0"/>
    <w:rsid w:val="006C4A27"/>
    <w:rsid w:val="007722D4"/>
    <w:rsid w:val="007776D8"/>
    <w:rsid w:val="00787687"/>
    <w:rsid w:val="00791F8E"/>
    <w:rsid w:val="007E26BE"/>
    <w:rsid w:val="00826EBD"/>
    <w:rsid w:val="008477C1"/>
    <w:rsid w:val="00856088"/>
    <w:rsid w:val="00876634"/>
    <w:rsid w:val="008C3885"/>
    <w:rsid w:val="008C4C16"/>
    <w:rsid w:val="008D0599"/>
    <w:rsid w:val="008E1292"/>
    <w:rsid w:val="008E2011"/>
    <w:rsid w:val="00923D90"/>
    <w:rsid w:val="009B7CFB"/>
    <w:rsid w:val="009D0C85"/>
    <w:rsid w:val="009F61D6"/>
    <w:rsid w:val="00A54977"/>
    <w:rsid w:val="00AA2A18"/>
    <w:rsid w:val="00AA3EEA"/>
    <w:rsid w:val="00AC352A"/>
    <w:rsid w:val="00AD2653"/>
    <w:rsid w:val="00AE2E9D"/>
    <w:rsid w:val="00B763A3"/>
    <w:rsid w:val="00B86079"/>
    <w:rsid w:val="00C00691"/>
    <w:rsid w:val="00C635C4"/>
    <w:rsid w:val="00C96A52"/>
    <w:rsid w:val="00CA3539"/>
    <w:rsid w:val="00D658EA"/>
    <w:rsid w:val="00D866D6"/>
    <w:rsid w:val="00DB7A7E"/>
    <w:rsid w:val="00DD790D"/>
    <w:rsid w:val="00E14EDB"/>
    <w:rsid w:val="00E25146"/>
    <w:rsid w:val="00E31233"/>
    <w:rsid w:val="00E467F3"/>
    <w:rsid w:val="00E61977"/>
    <w:rsid w:val="00E967B9"/>
    <w:rsid w:val="00EC58FD"/>
    <w:rsid w:val="00EC6309"/>
    <w:rsid w:val="00F32C6C"/>
    <w:rsid w:val="00F7755A"/>
    <w:rsid w:val="00FC60A5"/>
    <w:rsid w:val="00FF7A1F"/>
    <w:rsid w:val="6010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633118E-03F5-48D1-8467-81C2E87B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1"/>
      <w:szCs w:val="21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Theme="minorHAnsi" w:hAnsi="Arial"/>
      <w:sz w:val="20"/>
      <w:szCs w:val="22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Theme="minorHAnsi" w:hAnsi="Arial"/>
      <w:sz w:val="20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nfase">
    <w:name w:val="Emphasis"/>
    <w:basedOn w:val="Fontepargpadro"/>
    <w:uiPriority w:val="20"/>
    <w:qFormat/>
    <w:rPr>
      <w:i/>
      <w:iCs/>
      <w:color w:val="000000" w:themeColor="text1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caps/>
      <w:color w:val="404040" w:themeColor="text1" w:themeTint="BF"/>
      <w:spacing w:val="20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sz w:val="21"/>
      <w:szCs w:val="21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qFormat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sz w:val="24"/>
      <w:szCs w:val="24"/>
    </w:rPr>
  </w:style>
  <w:style w:type="character" w:customStyle="1" w:styleId="nfaseSutil1">
    <w:name w:val="Ênfase Sutil1"/>
    <w:basedOn w:val="Fontepargpadro"/>
    <w:uiPriority w:val="19"/>
    <w:qFormat/>
    <w:rPr>
      <w:i/>
      <w:iCs/>
      <w:color w:val="595959" w:themeColor="text1" w:themeTint="A6"/>
    </w:rPr>
  </w:style>
  <w:style w:type="character" w:customStyle="1" w:styleId="nfaseIntensa1">
    <w:name w:val="Ênfase Intensa1"/>
    <w:basedOn w:val="Fontepargpadro"/>
    <w:uiPriority w:val="21"/>
    <w:qFormat/>
    <w:rPr>
      <w:b/>
      <w:bCs/>
      <w:i/>
      <w:iCs/>
      <w:color w:val="C0504D" w:themeColor="accent2"/>
    </w:rPr>
  </w:style>
  <w:style w:type="character" w:customStyle="1" w:styleId="RefernciaSutil1">
    <w:name w:val="Referência Sutil1"/>
    <w:basedOn w:val="Fontepargpadro"/>
    <w:uiPriority w:val="31"/>
    <w:qFormat/>
    <w:rPr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RefernciaIntensa1">
    <w:name w:val="Referência Intensa1"/>
    <w:basedOn w:val="Fontepargpadro"/>
    <w:uiPriority w:val="32"/>
    <w:qFormat/>
    <w:rPr>
      <w:b/>
      <w:bCs/>
      <w:smallCaps/>
      <w:color w:val="auto"/>
      <w:spacing w:val="0"/>
      <w:u w:val="single"/>
    </w:rPr>
  </w:style>
  <w:style w:type="character" w:customStyle="1" w:styleId="TtulodoLivro1">
    <w:name w:val="Título do Livro1"/>
    <w:basedOn w:val="Fontepargpadro"/>
    <w:uiPriority w:val="33"/>
    <w:qFormat/>
    <w:rPr>
      <w:b/>
      <w:bCs/>
      <w:smallCaps/>
      <w:spacing w:val="0"/>
    </w:r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pPr>
      <w:outlineLvl w:val="9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ontepargpadro"/>
    <w:rPr>
      <w:rFonts w:ascii="FiraSansCondensed-Regular" w:hAnsi="FiraSansCondensed-Regular" w:hint="default"/>
      <w:color w:val="231F20"/>
      <w:sz w:val="20"/>
      <w:szCs w:val="20"/>
    </w:rPr>
  </w:style>
  <w:style w:type="character" w:customStyle="1" w:styleId="fontstyle21">
    <w:name w:val="fontstyle21"/>
    <w:basedOn w:val="Fontepargpadro"/>
    <w:rPr>
      <w:rFonts w:ascii="FiraSansCondensed-Medium" w:hAnsi="FiraSansCondensed-Medium" w:hint="default"/>
      <w:color w:val="F29277"/>
      <w:sz w:val="40"/>
      <w:szCs w:val="40"/>
    </w:rPr>
  </w:style>
  <w:style w:type="paragraph" w:styleId="PargrafodaLista">
    <w:name w:val="List Paragraph"/>
    <w:basedOn w:val="Normal"/>
    <w:uiPriority w:val="34"/>
    <w:qFormat/>
    <w:pPr>
      <w:spacing w:after="0" w:line="240" w:lineRule="auto"/>
      <w:ind w:left="720"/>
      <w:contextualSpacing/>
      <w:jc w:val="both"/>
    </w:pPr>
    <w:rPr>
      <w:rFonts w:ascii="Arial" w:eastAsiaTheme="minorHAnsi" w:hAnsi="Arial"/>
      <w:sz w:val="20"/>
      <w:szCs w:val="22"/>
    </w:rPr>
  </w:style>
  <w:style w:type="character" w:customStyle="1" w:styleId="unit">
    <w:name w:val="unit"/>
    <w:basedOn w:val="Fontepargpadro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Arial" w:eastAsiaTheme="minorHAnsi" w:hAnsi="Arial"/>
      <w:sz w:val="20"/>
      <w:szCs w:val="22"/>
    </w:rPr>
  </w:style>
  <w:style w:type="character" w:customStyle="1" w:styleId="RodapChar">
    <w:name w:val="Rodapé Char"/>
    <w:basedOn w:val="Fontepargpadro"/>
    <w:link w:val="Rodap"/>
    <w:uiPriority w:val="99"/>
    <w:rPr>
      <w:rFonts w:ascii="Arial" w:eastAsiaTheme="minorHAnsi" w:hAnsi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numbering" Target="numbering.xml"/><Relationship Id="rId21" Type="http://schemas.openxmlformats.org/officeDocument/2006/relationships/image" Target="media/image15.emf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2" Type="http://schemas.openxmlformats.org/officeDocument/2006/relationships/customXml" Target="../customXml/item2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openxmlformats.org/officeDocument/2006/relationships/styles" Target="style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theme" Target="theme/theme1.xml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3FB6FD-F25D-4AFF-ADB2-784CB10C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4161</Words>
  <Characters>22474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Greiciane Coelho Camargo</dc:creator>
  <cp:lastModifiedBy>Samille da Costa Leite</cp:lastModifiedBy>
  <cp:revision>2</cp:revision>
  <cp:lastPrinted>2019-04-26T13:24:00Z</cp:lastPrinted>
  <dcterms:created xsi:type="dcterms:W3CDTF">2019-04-26T13:24:00Z</dcterms:created>
  <dcterms:modified xsi:type="dcterms:W3CDTF">2019-04-26T13:24:00Z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